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3C916">
      <w:pPr>
        <w:spacing w:line="600" w:lineRule="exact"/>
        <w:jc w:val="center"/>
        <w:rPr>
          <w:color w:val="auto"/>
          <w:sz w:val="44"/>
          <w:szCs w:val="44"/>
          <w:highlight w:val="none"/>
        </w:rPr>
      </w:pPr>
      <w:r>
        <w:rPr>
          <w:rFonts w:hint="eastAsia"/>
          <w:color w:val="auto"/>
          <w:sz w:val="44"/>
          <w:szCs w:val="44"/>
          <w:highlight w:val="none"/>
        </w:rPr>
        <w:t>长春市人民政府令</w:t>
      </w:r>
    </w:p>
    <w:p w14:paraId="3EFC584A">
      <w:pPr>
        <w:spacing w:line="600" w:lineRule="exact"/>
        <w:jc w:val="center"/>
        <w:rPr>
          <w:color w:val="auto"/>
          <w:sz w:val="32"/>
          <w:szCs w:val="32"/>
          <w:highlight w:val="none"/>
        </w:rPr>
      </w:pPr>
    </w:p>
    <w:p w14:paraId="44C580ED">
      <w:pPr>
        <w:spacing w:line="600" w:lineRule="exact"/>
        <w:jc w:val="center"/>
        <w:rPr>
          <w:color w:val="auto"/>
          <w:sz w:val="32"/>
          <w:szCs w:val="32"/>
          <w:highlight w:val="none"/>
        </w:rPr>
      </w:pPr>
    </w:p>
    <w:p w14:paraId="4A410878">
      <w:pPr>
        <w:spacing w:line="600" w:lineRule="exact"/>
        <w:jc w:val="center"/>
        <w:rPr>
          <w:color w:val="auto"/>
          <w:sz w:val="32"/>
          <w:szCs w:val="32"/>
          <w:highlight w:val="none"/>
        </w:rPr>
      </w:pPr>
      <w:r>
        <w:rPr>
          <w:rFonts w:hint="eastAsia"/>
          <w:color w:val="auto"/>
          <w:sz w:val="32"/>
          <w:szCs w:val="32"/>
          <w:highlight w:val="none"/>
        </w:rPr>
        <w:t>第</w:t>
      </w:r>
      <w:r>
        <w:rPr>
          <w:rFonts w:hint="eastAsia"/>
          <w:color w:val="auto"/>
          <w:sz w:val="32"/>
          <w:szCs w:val="32"/>
          <w:highlight w:val="none"/>
          <w:lang w:val="en-US" w:eastAsia="zh-CN"/>
        </w:rPr>
        <w:t>97</w:t>
      </w:r>
      <w:r>
        <w:rPr>
          <w:rFonts w:hint="eastAsia"/>
          <w:color w:val="auto"/>
          <w:sz w:val="32"/>
          <w:szCs w:val="32"/>
          <w:highlight w:val="none"/>
        </w:rPr>
        <w:t>号</w:t>
      </w:r>
    </w:p>
    <w:p w14:paraId="77EE86C5">
      <w:pPr>
        <w:spacing w:line="600" w:lineRule="exact"/>
        <w:rPr>
          <w:rFonts w:ascii="仿宋_GB2312" w:eastAsia="仿宋_GB2312"/>
          <w:color w:val="auto"/>
          <w:sz w:val="32"/>
          <w:szCs w:val="32"/>
          <w:highlight w:val="none"/>
        </w:rPr>
      </w:pPr>
    </w:p>
    <w:p w14:paraId="1C459DDB">
      <w:pPr>
        <w:spacing w:line="300" w:lineRule="auto"/>
        <w:rPr>
          <w:rFonts w:ascii="仿宋_GB2312" w:eastAsia="仿宋_GB2312"/>
          <w:color w:val="auto"/>
          <w:sz w:val="32"/>
          <w:szCs w:val="32"/>
          <w:highlight w:val="none"/>
        </w:rPr>
      </w:pPr>
    </w:p>
    <w:p w14:paraId="388A888E">
      <w:pPr>
        <w:spacing w:line="300" w:lineRule="auto"/>
        <w:ind w:firstLine="640" w:firstLineChars="200"/>
        <w:rPr>
          <w:rFonts w:ascii="仿宋_GB2312" w:hAnsi="华文中宋" w:eastAsia="仿宋_GB2312"/>
          <w:color w:val="auto"/>
          <w:kern w:val="0"/>
          <w:sz w:val="32"/>
          <w:szCs w:val="32"/>
          <w:highlight w:val="none"/>
        </w:rPr>
      </w:pPr>
      <w:r>
        <w:rPr>
          <w:rFonts w:hint="eastAsia" w:ascii="仿宋_GB2312" w:eastAsia="仿宋_GB2312"/>
          <w:color w:val="auto"/>
          <w:sz w:val="32"/>
          <w:szCs w:val="32"/>
          <w:highlight w:val="none"/>
        </w:rPr>
        <w:t>《</w:t>
      </w:r>
      <w:r>
        <w:rPr>
          <w:rFonts w:hint="eastAsia" w:ascii="仿宋_GB2312" w:hAnsi="华文中宋" w:eastAsia="仿宋_GB2312" w:cs="宋体"/>
          <w:color w:val="auto"/>
          <w:kern w:val="0"/>
          <w:sz w:val="32"/>
          <w:szCs w:val="32"/>
          <w:highlight w:val="none"/>
        </w:rPr>
        <w:t>长春市</w:t>
      </w:r>
      <w:r>
        <w:rPr>
          <w:rFonts w:hint="default" w:ascii="仿宋_GB2312" w:hAnsi="华文中宋" w:eastAsia="仿宋_GB2312" w:cs="宋体"/>
          <w:color w:val="auto"/>
          <w:kern w:val="0"/>
          <w:sz w:val="32"/>
          <w:szCs w:val="32"/>
          <w:highlight w:val="none"/>
        </w:rPr>
        <w:t>城市照明管理办法</w:t>
      </w:r>
      <w:r>
        <w:rPr>
          <w:rFonts w:hint="eastAsia" w:ascii="仿宋_GB2312" w:hAnsi="华文中宋" w:eastAsia="仿宋_GB2312" w:cs="宋体"/>
          <w:color w:val="auto"/>
          <w:kern w:val="0"/>
          <w:sz w:val="32"/>
          <w:szCs w:val="32"/>
          <w:highlight w:val="none"/>
          <w:lang w:eastAsia="zh-CN"/>
        </w:rPr>
        <w:t>（</w:t>
      </w:r>
      <w:r>
        <w:rPr>
          <w:rFonts w:hint="eastAsia" w:ascii="仿宋_GB2312" w:hAnsi="华文中宋" w:eastAsia="仿宋_GB2312" w:cs="宋体"/>
          <w:color w:val="auto"/>
          <w:kern w:val="0"/>
          <w:sz w:val="32"/>
          <w:szCs w:val="32"/>
          <w:highlight w:val="none"/>
          <w:lang w:val="en-US" w:eastAsia="zh-CN"/>
        </w:rPr>
        <w:t>修订</w:t>
      </w:r>
      <w:r>
        <w:rPr>
          <w:rFonts w:hint="eastAsia" w:ascii="仿宋_GB2312" w:hAnsi="华文中宋" w:eastAsia="仿宋_GB2312" w:cs="宋体"/>
          <w:color w:val="auto"/>
          <w:kern w:val="0"/>
          <w:sz w:val="32"/>
          <w:szCs w:val="32"/>
          <w:highlight w:val="none"/>
          <w:lang w:eastAsia="zh-CN"/>
        </w:rPr>
        <w:t>）</w:t>
      </w:r>
      <w:r>
        <w:rPr>
          <w:rFonts w:hint="eastAsia" w:ascii="仿宋_GB2312" w:eastAsia="仿宋_GB2312"/>
          <w:color w:val="auto"/>
          <w:sz w:val="32"/>
          <w:szCs w:val="32"/>
          <w:highlight w:val="none"/>
        </w:rPr>
        <w:t>》已经20</w:t>
      </w:r>
      <w:r>
        <w:rPr>
          <w:rFonts w:hint="default" w:ascii="仿宋_GB2312" w:eastAsia="仿宋_GB2312"/>
          <w:color w:val="auto"/>
          <w:sz w:val="32"/>
          <w:szCs w:val="32"/>
          <w:highlight w:val="none"/>
        </w:rPr>
        <w:t>24</w:t>
      </w:r>
      <w:r>
        <w:rPr>
          <w:rFonts w:hint="eastAsia" w:ascii="仿宋_GB2312" w:eastAsia="仿宋_GB2312"/>
          <w:color w:val="auto"/>
          <w:sz w:val="32"/>
          <w:szCs w:val="32"/>
          <w:highlight w:val="none"/>
        </w:rPr>
        <w:t>年</w:t>
      </w:r>
      <w:r>
        <w:rPr>
          <w:rFonts w:hint="default"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hint="default" w:ascii="仿宋_GB2312" w:eastAsia="仿宋_GB2312"/>
          <w:color w:val="auto"/>
          <w:sz w:val="32"/>
          <w:szCs w:val="32"/>
          <w:highlight w:val="none"/>
        </w:rPr>
        <w:t>5</w:t>
      </w:r>
      <w:r>
        <w:rPr>
          <w:rFonts w:hint="eastAsia" w:ascii="仿宋_GB2312" w:eastAsia="仿宋_GB2312"/>
          <w:color w:val="auto"/>
          <w:sz w:val="32"/>
          <w:szCs w:val="32"/>
          <w:highlight w:val="none"/>
        </w:rPr>
        <w:t>日市政府第</w:t>
      </w:r>
      <w:r>
        <w:rPr>
          <w:rFonts w:hint="default" w:ascii="仿宋_GB2312" w:eastAsia="仿宋_GB2312"/>
          <w:color w:val="auto"/>
          <w:sz w:val="32"/>
          <w:szCs w:val="32"/>
          <w:highlight w:val="none"/>
        </w:rPr>
        <w:t>13</w:t>
      </w:r>
      <w:r>
        <w:rPr>
          <w:rFonts w:hint="eastAsia" w:ascii="仿宋_GB2312" w:eastAsia="仿宋_GB2312"/>
          <w:color w:val="auto"/>
          <w:sz w:val="32"/>
          <w:szCs w:val="32"/>
          <w:highlight w:val="none"/>
        </w:rPr>
        <w:t>次常务会议</w:t>
      </w:r>
      <w:r>
        <w:rPr>
          <w:rFonts w:hint="default" w:ascii="仿宋_GB2312" w:eastAsia="仿宋_GB2312"/>
          <w:color w:val="auto"/>
          <w:sz w:val="32"/>
          <w:szCs w:val="32"/>
          <w:highlight w:val="none"/>
        </w:rPr>
        <w:t>审议</w:t>
      </w:r>
      <w:r>
        <w:rPr>
          <w:rFonts w:hint="eastAsia" w:ascii="仿宋_GB2312" w:eastAsia="仿宋_GB2312"/>
          <w:color w:val="auto"/>
          <w:sz w:val="32"/>
          <w:szCs w:val="32"/>
          <w:highlight w:val="none"/>
        </w:rPr>
        <w:t>通过，现</w:t>
      </w:r>
      <w:r>
        <w:rPr>
          <w:rFonts w:hint="default" w:ascii="仿宋_GB2312" w:eastAsia="仿宋_GB2312"/>
          <w:color w:val="auto"/>
          <w:sz w:val="32"/>
          <w:szCs w:val="32"/>
          <w:highlight w:val="none"/>
        </w:rPr>
        <w:t>予</w:t>
      </w:r>
      <w:r>
        <w:rPr>
          <w:rFonts w:hint="eastAsia" w:ascii="仿宋_GB2312" w:eastAsia="仿宋_GB2312"/>
          <w:color w:val="auto"/>
          <w:sz w:val="32"/>
          <w:szCs w:val="32"/>
          <w:highlight w:val="none"/>
        </w:rPr>
        <w:t>公布，自</w:t>
      </w:r>
      <w:r>
        <w:rPr>
          <w:rFonts w:hint="default" w:ascii="仿宋_GB2312" w:eastAsia="仿宋_GB2312"/>
          <w:color w:val="auto"/>
          <w:sz w:val="32"/>
          <w:szCs w:val="32"/>
          <w:highlight w:val="none"/>
        </w:rPr>
        <w:t>2025</w:t>
      </w:r>
      <w:r>
        <w:rPr>
          <w:rFonts w:hint="eastAsia" w:ascii="仿宋_GB2312" w:eastAsia="仿宋_GB2312"/>
          <w:color w:val="auto"/>
          <w:sz w:val="32"/>
          <w:szCs w:val="32"/>
          <w:highlight w:val="none"/>
        </w:rPr>
        <w:t>年</w:t>
      </w:r>
      <w:r>
        <w:rPr>
          <w:rFonts w:hint="default" w:ascii="仿宋_GB2312" w:eastAsia="仿宋_GB2312"/>
          <w:color w:val="auto"/>
          <w:sz w:val="32"/>
          <w:szCs w:val="32"/>
          <w:highlight w:val="none"/>
        </w:rPr>
        <w:t>3</w:t>
      </w:r>
      <w:r>
        <w:rPr>
          <w:rFonts w:hint="eastAsia" w:ascii="仿宋_GB2312" w:eastAsia="仿宋_GB2312"/>
          <w:color w:val="auto"/>
          <w:sz w:val="32"/>
          <w:szCs w:val="32"/>
          <w:highlight w:val="none"/>
        </w:rPr>
        <w:t>月</w:t>
      </w:r>
      <w:r>
        <w:rPr>
          <w:rFonts w:hint="default" w:ascii="仿宋_GB2312" w:eastAsia="仿宋_GB2312"/>
          <w:color w:val="auto"/>
          <w:sz w:val="32"/>
          <w:szCs w:val="32"/>
          <w:highlight w:val="none"/>
        </w:rPr>
        <w:t>1</w:t>
      </w:r>
      <w:r>
        <w:rPr>
          <w:rFonts w:hint="eastAsia" w:ascii="仿宋_GB2312" w:eastAsia="仿宋_GB2312"/>
          <w:color w:val="auto"/>
          <w:sz w:val="32"/>
          <w:szCs w:val="32"/>
          <w:highlight w:val="none"/>
        </w:rPr>
        <w:t>日起施行。</w:t>
      </w:r>
    </w:p>
    <w:p w14:paraId="063825D9">
      <w:pPr>
        <w:spacing w:line="600" w:lineRule="exact"/>
        <w:rPr>
          <w:rFonts w:ascii="仿宋_GB2312" w:eastAsia="仿宋_GB2312"/>
          <w:color w:val="auto"/>
          <w:sz w:val="32"/>
          <w:szCs w:val="32"/>
          <w:highlight w:val="none"/>
        </w:rPr>
      </w:pPr>
    </w:p>
    <w:p w14:paraId="0692C94B">
      <w:pPr>
        <w:spacing w:line="600" w:lineRule="exact"/>
        <w:ind w:right="640"/>
        <w:jc w:val="right"/>
        <w:rPr>
          <w:rFonts w:ascii="仿宋_GB2312" w:eastAsia="仿宋_GB2312"/>
          <w:color w:val="auto"/>
          <w:sz w:val="32"/>
          <w:szCs w:val="32"/>
          <w:highlight w:val="none"/>
        </w:rPr>
      </w:pPr>
    </w:p>
    <w:p w14:paraId="4DF70E6B">
      <w:pPr>
        <w:spacing w:line="600" w:lineRule="exact"/>
        <w:ind w:right="640"/>
        <w:jc w:val="right"/>
        <w:rPr>
          <w:rFonts w:ascii="仿宋_GB2312" w:eastAsia="仿宋_GB2312"/>
          <w:color w:val="auto"/>
          <w:sz w:val="32"/>
          <w:szCs w:val="32"/>
          <w:highlight w:val="none"/>
        </w:rPr>
      </w:pPr>
    </w:p>
    <w:p w14:paraId="34F8CA71">
      <w:pPr>
        <w:spacing w:line="600" w:lineRule="exact"/>
        <w:ind w:right="640"/>
        <w:jc w:val="right"/>
        <w:rPr>
          <w:rFonts w:ascii="仿宋_GB2312" w:eastAsia="仿宋_GB2312"/>
          <w:color w:val="auto"/>
          <w:sz w:val="32"/>
          <w:szCs w:val="32"/>
          <w:highlight w:val="none"/>
        </w:rPr>
      </w:pPr>
    </w:p>
    <w:p w14:paraId="47653838">
      <w:pPr>
        <w:spacing w:line="600" w:lineRule="exact"/>
        <w:ind w:right="640"/>
        <w:jc w:val="right"/>
        <w:rPr>
          <w:rFonts w:ascii="仿宋_GB2312" w:eastAsia="仿宋_GB2312"/>
          <w:color w:val="auto"/>
          <w:sz w:val="32"/>
          <w:szCs w:val="32"/>
          <w:highlight w:val="none"/>
        </w:rPr>
      </w:pPr>
    </w:p>
    <w:p w14:paraId="3E00BA36">
      <w:pPr>
        <w:spacing w:line="600" w:lineRule="exact"/>
        <w:ind w:right="640"/>
        <w:jc w:val="right"/>
        <w:rPr>
          <w:rFonts w:ascii="仿宋_GB2312" w:eastAsia="仿宋_GB2312"/>
          <w:color w:val="auto"/>
          <w:sz w:val="32"/>
          <w:szCs w:val="32"/>
          <w:highlight w:val="none"/>
        </w:rPr>
      </w:pPr>
    </w:p>
    <w:p w14:paraId="70D0393A">
      <w:pPr>
        <w:spacing w:line="600" w:lineRule="exact"/>
        <w:ind w:right="640"/>
        <w:jc w:val="right"/>
        <w:rPr>
          <w:rFonts w:ascii="仿宋_GB2312" w:eastAsia="仿宋_GB2312"/>
          <w:color w:val="auto"/>
          <w:sz w:val="32"/>
          <w:szCs w:val="32"/>
          <w:highlight w:val="none"/>
        </w:rPr>
      </w:pPr>
    </w:p>
    <w:p w14:paraId="04E97CBE">
      <w:pPr>
        <w:spacing w:line="600" w:lineRule="exact"/>
        <w:ind w:right="640"/>
        <w:jc w:val="center"/>
        <w:rPr>
          <w:rFonts w:ascii="仿宋_GB2312" w:eastAsia="仿宋_GB2312"/>
          <w:color w:val="auto"/>
          <w:sz w:val="32"/>
          <w:szCs w:val="32"/>
          <w:highlight w:val="none"/>
        </w:rPr>
      </w:pPr>
      <w:r>
        <w:rPr>
          <w:rFonts w:hint="default" w:ascii="仿宋_GB2312" w:eastAsia="仿宋_GB2312"/>
          <w:color w:val="auto"/>
          <w:sz w:val="32"/>
          <w:szCs w:val="32"/>
          <w:highlight w:val="none"/>
        </w:rPr>
        <w:t xml:space="preserve">                              </w:t>
      </w:r>
      <w:r>
        <w:rPr>
          <w:rFonts w:hint="eastAsia" w:ascii="仿宋_GB2312" w:eastAsia="仿宋_GB2312"/>
          <w:color w:val="auto"/>
          <w:sz w:val="32"/>
          <w:szCs w:val="32"/>
          <w:highlight w:val="none"/>
        </w:rPr>
        <w:t xml:space="preserve">市长：  </w:t>
      </w:r>
      <w:r>
        <w:rPr>
          <w:rFonts w:hint="default" w:ascii="仿宋_GB2312" w:eastAsia="仿宋_GB2312"/>
          <w:color w:val="auto"/>
          <w:sz w:val="32"/>
          <w:szCs w:val="32"/>
          <w:highlight w:val="none"/>
        </w:rPr>
        <w:t>王子联</w:t>
      </w:r>
      <w:r>
        <w:rPr>
          <w:rFonts w:hint="eastAsia" w:ascii="仿宋_GB2312" w:eastAsia="仿宋_GB2312"/>
          <w:color w:val="auto"/>
          <w:sz w:val="32"/>
          <w:szCs w:val="32"/>
          <w:highlight w:val="none"/>
        </w:rPr>
        <w:t xml:space="preserve">       </w:t>
      </w:r>
    </w:p>
    <w:p w14:paraId="4C7AE5E1">
      <w:pPr>
        <w:jc w:val="center"/>
        <w:rPr>
          <w:rFonts w:hint="eastAsia" w:ascii="仿宋_GB2312" w:eastAsia="仿宋_GB2312"/>
          <w:color w:val="auto"/>
          <w:sz w:val="32"/>
          <w:szCs w:val="32"/>
          <w:highlight w:val="none"/>
        </w:rPr>
      </w:pPr>
      <w:r>
        <w:rPr>
          <w:rFonts w:hint="default" w:ascii="仿宋_GB2312" w:eastAsia="仿宋_GB2312"/>
          <w:color w:val="auto"/>
          <w:sz w:val="32"/>
          <w:szCs w:val="32"/>
          <w:highlight w:val="none"/>
        </w:rPr>
        <w:t xml:space="preserve">                        </w:t>
      </w:r>
      <w:r>
        <w:rPr>
          <w:rFonts w:hint="eastAsia" w:ascii="仿宋_GB2312" w:eastAsia="仿宋_GB2312"/>
          <w:color w:val="auto"/>
          <w:sz w:val="32"/>
          <w:szCs w:val="32"/>
          <w:highlight w:val="none"/>
          <w:lang w:val="en-US" w:eastAsia="zh-CN"/>
        </w:rPr>
        <w:t>2024</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月</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日</w:t>
      </w:r>
    </w:p>
    <w:p w14:paraId="17BDE5DD">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宋体" w:hAnsi="宋体" w:eastAsia="宋体" w:cs="宋体"/>
          <w:color w:val="auto"/>
          <w:sz w:val="44"/>
          <w:szCs w:val="44"/>
          <w:highlight w:val="none"/>
          <w:lang w:eastAsia="zh-CN"/>
        </w:rPr>
      </w:pPr>
    </w:p>
    <w:p w14:paraId="2E123766">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宋体" w:hAnsi="宋体" w:eastAsia="宋体" w:cs="宋体"/>
          <w:color w:val="auto"/>
          <w:sz w:val="44"/>
          <w:szCs w:val="44"/>
          <w:highlight w:val="none"/>
          <w:lang w:eastAsia="zh-CN"/>
        </w:rPr>
      </w:pPr>
    </w:p>
    <w:p w14:paraId="0AAF2490">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宋体" w:hAnsi="宋体" w:eastAsia="宋体" w:cs="宋体"/>
          <w:color w:val="auto"/>
          <w:sz w:val="44"/>
          <w:szCs w:val="44"/>
          <w:highlight w:val="none"/>
          <w:lang w:eastAsia="zh-CN"/>
        </w:rPr>
      </w:pPr>
    </w:p>
    <w:p w14:paraId="0E31A2AE">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宋体" w:hAnsi="宋体" w:eastAsia="宋体" w:cs="宋体"/>
          <w:color w:val="auto"/>
          <w:sz w:val="44"/>
          <w:szCs w:val="44"/>
          <w:highlight w:val="none"/>
          <w:lang w:eastAsia="zh-CN"/>
        </w:rPr>
      </w:pPr>
    </w:p>
    <w:p w14:paraId="3519EE1B">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长春市城市照明管理办法</w:t>
      </w:r>
    </w:p>
    <w:p w14:paraId="7E1BA709">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（2015年12月7日长春市人民政府令第65号公布，</w:t>
      </w:r>
    </w:p>
    <w:p w14:paraId="0F678176">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2020年10月21日长春市人民政府令第82号修改，</w:t>
      </w:r>
    </w:p>
    <w:p w14:paraId="1D1CB195">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楷体_GB2312" w:hAnsi="楷体_GB2312" w:eastAsia="楷体_GB2312" w:cs="楷体_GB2312"/>
          <w:color w:val="auto"/>
          <w:sz w:val="32"/>
          <w:szCs w:val="32"/>
          <w:highlight w:val="none"/>
          <w:lang w:eastAsia="zh-CN"/>
        </w:rPr>
      </w:pPr>
      <w:r>
        <w:rPr>
          <w:rFonts w:hint="eastAsia" w:ascii="楷体_GB2312" w:hAnsi="楷体_GB2312" w:eastAsia="楷体_GB2312" w:cs="楷体_GB2312"/>
          <w:color w:val="auto"/>
          <w:sz w:val="32"/>
          <w:szCs w:val="32"/>
          <w:highlight w:val="none"/>
        </w:rPr>
        <w:t>2024年12月9日长春市人民政府令第97号修订）</w:t>
      </w:r>
      <w:bookmarkStart w:id="0" w:name="_GoBack"/>
      <w:bookmarkEnd w:id="0"/>
    </w:p>
    <w:p w14:paraId="655EB882">
      <w:pPr>
        <w:keepNext w:val="0"/>
        <w:keepLines w:val="0"/>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asciiTheme="majorEastAsia" w:hAnsiTheme="majorEastAsia" w:eastAsiaTheme="majorEastAsia"/>
          <w:color w:val="auto"/>
          <w:sz w:val="32"/>
          <w:szCs w:val="32"/>
          <w:highlight w:val="none"/>
          <w:lang w:eastAsia="zh-CN"/>
        </w:rPr>
      </w:pPr>
    </w:p>
    <w:p w14:paraId="58B3CC8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黑体" w:eastAsia="黑体" w:cs="宋体" w:hAnsiTheme="minorHAnsi"/>
          <w:b w:val="0"/>
          <w:bCs w:val="0"/>
          <w:color w:val="auto"/>
          <w:kern w:val="2"/>
          <w:sz w:val="32"/>
          <w:szCs w:val="32"/>
          <w:highlight w:val="none"/>
          <w:lang w:val="en-US" w:eastAsia="zh-CN" w:bidi="ar-SA"/>
        </w:rPr>
      </w:pPr>
      <w:r>
        <w:rPr>
          <w:rFonts w:hint="eastAsia" w:ascii="黑体" w:eastAsia="黑体" w:cs="宋体" w:hAnsiTheme="minorHAnsi"/>
          <w:b w:val="0"/>
          <w:bCs w:val="0"/>
          <w:color w:val="auto"/>
          <w:kern w:val="2"/>
          <w:sz w:val="32"/>
          <w:szCs w:val="32"/>
          <w:highlight w:val="none"/>
          <w:lang w:val="en-US" w:eastAsia="zh-CN" w:bidi="ar-SA"/>
        </w:rPr>
        <w:t>第一章 总 则</w:t>
      </w:r>
    </w:p>
    <w:p w14:paraId="005C962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rPr>
      </w:pPr>
      <w:r>
        <w:rPr>
          <w:rFonts w:hint="eastAsia" w:ascii="黑体" w:eastAsia="黑体" w:cs="宋体" w:hAnsiTheme="minorHAnsi"/>
          <w:color w:val="auto"/>
          <w:sz w:val="32"/>
          <w:szCs w:val="32"/>
          <w:highlight w:val="none"/>
        </w:rPr>
        <w:t xml:space="preserve">第一条 </w:t>
      </w:r>
      <w:r>
        <w:rPr>
          <w:rFonts w:hint="eastAsia" w:ascii="仿宋_GB2312" w:eastAsia="仿宋_GB2312" w:cs="宋体" w:hAnsiTheme="minorHAnsi"/>
          <w:color w:val="auto"/>
          <w:sz w:val="32"/>
          <w:szCs w:val="32"/>
          <w:highlight w:val="none"/>
          <w:lang w:val="en-US" w:eastAsia="zh-CN"/>
        </w:rPr>
        <w:t>为了加强城市照明管理，保障城市照明设施完好，改善城市照明环境，促进节能降碳，提升城市宜居水平，根据有关法律、法规规定，结合本市实际，制定本办法。</w:t>
      </w:r>
    </w:p>
    <w:p w14:paraId="188F58E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第二条</w:t>
      </w:r>
      <w:r>
        <w:rPr>
          <w:rFonts w:hint="eastAsia"/>
          <w:color w:val="auto"/>
          <w:sz w:val="32"/>
          <w:szCs w:val="32"/>
          <w:highlight w:val="none"/>
        </w:rPr>
        <w:t xml:space="preserve"> </w:t>
      </w:r>
      <w:r>
        <w:rPr>
          <w:rFonts w:hint="eastAsia" w:ascii="仿宋_GB2312" w:eastAsia="仿宋_GB2312" w:cs="宋体" w:hAnsiTheme="minorHAnsi"/>
          <w:color w:val="auto"/>
          <w:sz w:val="32"/>
          <w:szCs w:val="32"/>
          <w:highlight w:val="none"/>
          <w:lang w:val="en-US" w:eastAsia="zh-CN"/>
        </w:rPr>
        <w:t>本市市区范围内城市照明的规划、建设、维护和管理等活动，适用本办法。</w:t>
      </w:r>
    </w:p>
    <w:p w14:paraId="03F935D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第三条</w:t>
      </w:r>
      <w:r>
        <w:rPr>
          <w:rFonts w:hint="eastAsia"/>
          <w:color w:val="auto"/>
          <w:sz w:val="32"/>
          <w:szCs w:val="32"/>
          <w:highlight w:val="none"/>
        </w:rPr>
        <w:t xml:space="preserve"> </w:t>
      </w:r>
      <w:r>
        <w:rPr>
          <w:rFonts w:hint="eastAsia" w:ascii="仿宋_GB2312" w:eastAsia="仿宋_GB2312" w:cs="宋体" w:hAnsiTheme="minorHAnsi"/>
          <w:color w:val="auto"/>
          <w:sz w:val="32"/>
          <w:szCs w:val="32"/>
          <w:highlight w:val="none"/>
          <w:lang w:val="en-US" w:eastAsia="zh-CN"/>
        </w:rPr>
        <w:t>市城市照明主管部门负责本市城市照明的管理工作，并根据职责分工负责管理范围内城市照明管理的具体工作。</w:t>
      </w:r>
    </w:p>
    <w:p w14:paraId="1FD58DA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区城市照明主管部门按照规定的职责分工，负责本辖区内城市照明管理的具体工作。</w:t>
      </w:r>
    </w:p>
    <w:p w14:paraId="16A789D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开发区管理机构根据授权，负责本辖区内城市照明管理的具体工作。</w:t>
      </w:r>
    </w:p>
    <w:p w14:paraId="2FDF10E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有关部门按照各自职责，做好城市照明管理的相关工作。</w:t>
      </w:r>
    </w:p>
    <w:p w14:paraId="59D3191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rPr>
      </w:pPr>
      <w:r>
        <w:rPr>
          <w:rFonts w:hint="eastAsia" w:ascii="黑体" w:eastAsia="黑体" w:cs="宋体" w:hAnsiTheme="minorHAnsi"/>
          <w:color w:val="auto"/>
          <w:sz w:val="32"/>
          <w:szCs w:val="32"/>
          <w:highlight w:val="none"/>
        </w:rPr>
        <w:t>第四条</w:t>
      </w:r>
      <w:r>
        <w:rPr>
          <w:rFonts w:hint="eastAsia"/>
          <w:color w:val="auto"/>
          <w:sz w:val="32"/>
          <w:szCs w:val="32"/>
          <w:highlight w:val="none"/>
        </w:rPr>
        <w:t xml:space="preserve"> </w:t>
      </w:r>
      <w:r>
        <w:rPr>
          <w:rFonts w:hint="eastAsia" w:ascii="仿宋_GB2312" w:eastAsia="仿宋_GB2312" w:cs="宋体" w:hAnsiTheme="minorHAnsi"/>
          <w:color w:val="auto"/>
          <w:sz w:val="32"/>
          <w:szCs w:val="32"/>
          <w:highlight w:val="none"/>
          <w:lang w:val="en-US" w:eastAsia="zh-CN"/>
        </w:rPr>
        <w:t>城市照明工作应当遵循以人为本、经济适用、节能环保、美化环境和依法管理的原则，严格控制公用设施和大型建筑物装饰性景观照明能耗。</w:t>
      </w:r>
    </w:p>
    <w:p w14:paraId="0B2D677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rPr>
      </w:pPr>
      <w:r>
        <w:rPr>
          <w:rFonts w:hint="eastAsia" w:ascii="黑体" w:eastAsia="黑体" w:cs="宋体" w:hAnsiTheme="minorHAnsi"/>
          <w:color w:val="auto"/>
          <w:sz w:val="32"/>
          <w:szCs w:val="32"/>
          <w:highlight w:val="none"/>
        </w:rPr>
        <w:t>第五条</w:t>
      </w:r>
      <w:r>
        <w:rPr>
          <w:rFonts w:hint="eastAsia"/>
          <w:color w:val="auto"/>
          <w:sz w:val="32"/>
          <w:szCs w:val="32"/>
          <w:highlight w:val="none"/>
        </w:rPr>
        <w:t xml:space="preserve"> </w:t>
      </w:r>
      <w:r>
        <w:rPr>
          <w:rFonts w:hint="eastAsia" w:ascii="仿宋_GB2312" w:eastAsia="仿宋_GB2312" w:cs="宋体" w:hAnsiTheme="minorHAnsi"/>
          <w:color w:val="auto"/>
          <w:sz w:val="32"/>
          <w:szCs w:val="32"/>
          <w:highlight w:val="none"/>
          <w:lang w:val="en-US" w:eastAsia="zh-CN"/>
        </w:rPr>
        <w:t>政府投资建设和非政府投资建设已移交城市照明主管部门的城市照明设施运行所需资金应当纳入财政预算，专款专用，保证维护、管理经费及电费的正常支出，并接受财政和审计部门的监督。</w:t>
      </w:r>
    </w:p>
    <w:p w14:paraId="05B2E27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第六条</w:t>
      </w:r>
      <w:r>
        <w:rPr>
          <w:rFonts w:hint="eastAsia"/>
          <w:color w:val="auto"/>
          <w:sz w:val="32"/>
          <w:szCs w:val="32"/>
          <w:highlight w:val="none"/>
        </w:rPr>
        <w:t xml:space="preserve"> </w:t>
      </w:r>
      <w:r>
        <w:rPr>
          <w:rFonts w:hint="eastAsia" w:ascii="仿宋_GB2312" w:eastAsia="仿宋_GB2312" w:cs="宋体" w:hAnsiTheme="minorHAnsi"/>
          <w:color w:val="auto"/>
          <w:sz w:val="32"/>
          <w:szCs w:val="32"/>
          <w:highlight w:val="none"/>
          <w:lang w:val="en-US" w:eastAsia="zh-CN"/>
        </w:rPr>
        <w:t>鼓励和支持城市照明科学技术的研究，采用和推广新技术、新设备、新产品，开展绿色照明活动，实现城市照明的智能化监控和管理，提高城市照明的科技含量和管理水平，实现城市照明高质量发展。</w:t>
      </w:r>
    </w:p>
    <w:p w14:paraId="748E2AB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第七条</w:t>
      </w:r>
      <w:r>
        <w:rPr>
          <w:rFonts w:hint="eastAsia"/>
          <w:color w:val="auto"/>
          <w:sz w:val="32"/>
          <w:szCs w:val="32"/>
          <w:highlight w:val="none"/>
        </w:rPr>
        <w:t xml:space="preserve"> </w:t>
      </w:r>
      <w:r>
        <w:rPr>
          <w:rFonts w:hint="eastAsia" w:ascii="仿宋_GB2312" w:eastAsia="仿宋_GB2312" w:cs="宋体" w:hAnsiTheme="minorHAnsi"/>
          <w:color w:val="auto"/>
          <w:sz w:val="32"/>
          <w:szCs w:val="32"/>
          <w:highlight w:val="none"/>
          <w:lang w:val="en-US" w:eastAsia="zh-CN"/>
        </w:rPr>
        <w:t>鼓励社会资本采取独资、合资、合作等形式，参与城市照明设施的建设和维护。</w:t>
      </w:r>
    </w:p>
    <w:p w14:paraId="67C373B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黑体" w:eastAsia="黑体" w:cs="宋体" w:hAnsiTheme="minorHAnsi"/>
          <w:b w:val="0"/>
          <w:bCs w:val="0"/>
          <w:color w:val="auto"/>
          <w:kern w:val="2"/>
          <w:sz w:val="32"/>
          <w:szCs w:val="32"/>
          <w:highlight w:val="none"/>
          <w:lang w:val="en-US" w:eastAsia="zh-CN" w:bidi="ar-SA"/>
        </w:rPr>
      </w:pPr>
      <w:r>
        <w:rPr>
          <w:rFonts w:hint="eastAsia" w:ascii="黑体" w:eastAsia="黑体" w:cs="宋体" w:hAnsiTheme="minorHAnsi"/>
          <w:b w:val="0"/>
          <w:bCs w:val="0"/>
          <w:color w:val="auto"/>
          <w:kern w:val="2"/>
          <w:sz w:val="32"/>
          <w:szCs w:val="32"/>
          <w:highlight w:val="none"/>
          <w:lang w:val="en-US" w:eastAsia="zh-CN" w:bidi="ar-SA"/>
        </w:rPr>
        <w:t>第二章 规划与建设</w:t>
      </w:r>
    </w:p>
    <w:p w14:paraId="5FBEED2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 xml:space="preserve">第八条 </w:t>
      </w:r>
      <w:r>
        <w:rPr>
          <w:rFonts w:hint="eastAsia" w:ascii="仿宋_GB2312" w:eastAsia="仿宋_GB2312" w:cs="宋体" w:hAnsiTheme="minorHAnsi"/>
          <w:color w:val="auto"/>
          <w:sz w:val="32"/>
          <w:szCs w:val="32"/>
          <w:highlight w:val="none"/>
          <w:lang w:val="en-US" w:eastAsia="zh-CN"/>
        </w:rPr>
        <w:t>市城市照明主管部门应当会同规划和自然资源等有关部门，依据国土空间总体规划，组织编制城市照明专项规划，报市人民政府批准。</w:t>
      </w:r>
    </w:p>
    <w:p w14:paraId="4AF1652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市城市照明主管部门应当依据城市照明专项规划，制定城市照明设施建设、维护年度计划，报市人民政府批准后实施。</w:t>
      </w:r>
    </w:p>
    <w:p w14:paraId="563B9FB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color w:val="auto"/>
          <w:sz w:val="32"/>
          <w:szCs w:val="32"/>
          <w:highlight w:val="none"/>
        </w:rPr>
      </w:pPr>
      <w:r>
        <w:rPr>
          <w:rFonts w:hint="eastAsia" w:ascii="黑体" w:eastAsia="黑体" w:cs="宋体" w:hAnsiTheme="minorHAnsi"/>
          <w:b w:val="0"/>
          <w:bCs w:val="0"/>
          <w:color w:val="auto"/>
          <w:kern w:val="2"/>
          <w:sz w:val="32"/>
          <w:szCs w:val="32"/>
          <w:highlight w:val="none"/>
          <w:lang w:val="en-US" w:eastAsia="zh-CN" w:bidi="ar-SA"/>
        </w:rPr>
        <w:t xml:space="preserve">第九条 </w:t>
      </w:r>
      <w:r>
        <w:rPr>
          <w:rFonts w:hint="eastAsia" w:ascii="仿宋_GB2312" w:eastAsia="仿宋_GB2312" w:cs="宋体" w:hAnsiTheme="minorHAnsi"/>
          <w:color w:val="auto"/>
          <w:sz w:val="32"/>
          <w:szCs w:val="32"/>
          <w:highlight w:val="none"/>
          <w:lang w:val="en-US" w:eastAsia="zh-CN"/>
        </w:rPr>
        <w:t>从事城市照明工程勘察、设计、施工、监理的单位应当具备相应的资质；相关专业技术人员应当依法取得相应的执业资格。</w:t>
      </w:r>
    </w:p>
    <w:p w14:paraId="6CB12E2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 xml:space="preserve">第十条 </w:t>
      </w:r>
      <w:r>
        <w:rPr>
          <w:rFonts w:hint="eastAsia" w:ascii="仿宋_GB2312" w:eastAsia="仿宋_GB2312" w:cs="宋体" w:hAnsiTheme="minorHAnsi"/>
          <w:color w:val="auto"/>
          <w:sz w:val="32"/>
          <w:szCs w:val="32"/>
          <w:highlight w:val="none"/>
          <w:lang w:val="en-US" w:eastAsia="zh-CN"/>
        </w:rPr>
        <w:t>新建、改建城市照明设施，应当根据城市照明专项规划确定各类区域照明的亮度、能耗标准，并符合国家有关标准规范。</w:t>
      </w:r>
    </w:p>
    <w:p w14:paraId="3FA2C8C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 xml:space="preserve">第十一条 </w:t>
      </w:r>
      <w:r>
        <w:rPr>
          <w:rFonts w:hint="eastAsia" w:ascii="仿宋_GB2312" w:eastAsia="仿宋_GB2312" w:cs="宋体" w:hAnsiTheme="minorHAnsi"/>
          <w:color w:val="auto"/>
          <w:sz w:val="32"/>
          <w:szCs w:val="32"/>
          <w:highlight w:val="none"/>
          <w:lang w:val="en-US" w:eastAsia="zh-CN"/>
        </w:rPr>
        <w:t>新建、改建、扩建的工程项目，按照城市照明专项规划需要配套建设城市照明设施的，其配套设施应当与主体工程同步设计、同步施工、同步验收和同步使用。</w:t>
      </w:r>
    </w:p>
    <w:p w14:paraId="31A1AEC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施工图审查机构审查建设项目施工图时，应当对配套建设的城市照明设施的设计是否符合工程建设强制性标准和本办法的规定进行审查。</w:t>
      </w:r>
    </w:p>
    <w:p w14:paraId="6E83C79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建设单位组织城市照明工程竣工验收时，应当通知城市照明主管部门参加。</w:t>
      </w:r>
    </w:p>
    <w:p w14:paraId="68BF983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城市照明工程未经验收或者验收不合格的，不得交付使用。</w:t>
      </w:r>
    </w:p>
    <w:p w14:paraId="1786967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 xml:space="preserve">第十二条 </w:t>
      </w:r>
      <w:r>
        <w:rPr>
          <w:rFonts w:hint="eastAsia" w:ascii="仿宋_GB2312" w:eastAsia="仿宋_GB2312" w:cs="宋体" w:hAnsiTheme="minorHAnsi"/>
          <w:color w:val="auto"/>
          <w:sz w:val="32"/>
          <w:szCs w:val="32"/>
          <w:highlight w:val="none"/>
          <w:lang w:val="en-US" w:eastAsia="zh-CN"/>
        </w:rPr>
        <w:t>新建、改建、扩建城市道路项目的功能照明装灯率应当达到百分之一百。</w:t>
      </w:r>
    </w:p>
    <w:p w14:paraId="70AE66E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按照城市照明专项规划应当建设功能照明设施而未建设，或者功能照明设施不符合城市照明专项规划的，其所有权人应当按照有关标准和规范进行建设、改造。</w:t>
      </w:r>
    </w:p>
    <w:p w14:paraId="1D4F8F8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第十</w:t>
      </w:r>
      <w:r>
        <w:rPr>
          <w:rFonts w:hint="eastAsia" w:ascii="黑体" w:eastAsia="黑体" w:cs="宋体" w:hAnsiTheme="minorHAnsi"/>
          <w:color w:val="auto"/>
          <w:sz w:val="32"/>
          <w:szCs w:val="32"/>
          <w:highlight w:val="none"/>
          <w:lang w:val="en-US" w:eastAsia="zh-CN"/>
        </w:rPr>
        <w:t>三</w:t>
      </w:r>
      <w:r>
        <w:rPr>
          <w:rFonts w:hint="eastAsia" w:ascii="黑体" w:eastAsia="黑体" w:cs="宋体" w:hAnsiTheme="minorHAnsi"/>
          <w:color w:val="auto"/>
          <w:sz w:val="32"/>
          <w:szCs w:val="32"/>
          <w:highlight w:val="none"/>
        </w:rPr>
        <w:t>条</w:t>
      </w:r>
      <w:r>
        <w:rPr>
          <w:rFonts w:hint="eastAsia"/>
          <w:color w:val="auto"/>
          <w:sz w:val="32"/>
          <w:szCs w:val="32"/>
          <w:highlight w:val="none"/>
        </w:rPr>
        <w:t xml:space="preserve"> </w:t>
      </w:r>
      <w:r>
        <w:rPr>
          <w:rFonts w:hint="eastAsia" w:ascii="仿宋_GB2312" w:eastAsia="仿宋_GB2312" w:cs="宋体" w:hAnsiTheme="minorHAnsi"/>
          <w:color w:val="auto"/>
          <w:sz w:val="32"/>
          <w:szCs w:val="32"/>
          <w:highlight w:val="none"/>
          <w:lang w:val="en-US" w:eastAsia="zh-CN"/>
        </w:rPr>
        <w:t>设置景观照明设施的，应当符合城市照明专项规划。</w:t>
      </w:r>
    </w:p>
    <w:p w14:paraId="7396834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根据城市照明专项规划应当设置景观照明设施的建（构）筑物和场所，其景观照明设施建设所需资金，由城市照明主管部门与所有权人或者使用人协商解决。对景观照明设施进行建设、改造时，所有权人或者使用人应当支持与配合。</w:t>
      </w:r>
    </w:p>
    <w:p w14:paraId="21069DA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第十</w:t>
      </w:r>
      <w:r>
        <w:rPr>
          <w:rFonts w:hint="eastAsia" w:ascii="黑体" w:eastAsia="黑体" w:cs="宋体" w:hAnsiTheme="minorHAnsi"/>
          <w:color w:val="auto"/>
          <w:sz w:val="32"/>
          <w:szCs w:val="32"/>
          <w:highlight w:val="none"/>
          <w:lang w:val="en-US" w:eastAsia="zh-CN"/>
        </w:rPr>
        <w:t>四</w:t>
      </w:r>
      <w:r>
        <w:rPr>
          <w:rFonts w:hint="eastAsia" w:ascii="黑体" w:eastAsia="黑体" w:cs="宋体" w:hAnsiTheme="minorHAnsi"/>
          <w:color w:val="auto"/>
          <w:sz w:val="32"/>
          <w:szCs w:val="32"/>
          <w:highlight w:val="none"/>
        </w:rPr>
        <w:t>条</w:t>
      </w:r>
      <w:r>
        <w:rPr>
          <w:rFonts w:hint="eastAsia" w:ascii="黑体" w:eastAsia="黑体" w:cs="宋体" w:hAnsiTheme="minorHAnsi"/>
          <w:color w:val="auto"/>
          <w:sz w:val="32"/>
          <w:szCs w:val="32"/>
          <w:highlight w:val="none"/>
          <w:lang w:val="en-US" w:eastAsia="zh-CN"/>
        </w:rPr>
        <w:t xml:space="preserve"> </w:t>
      </w:r>
      <w:r>
        <w:rPr>
          <w:rFonts w:hint="eastAsia" w:ascii="仿宋_GB2312" w:eastAsia="仿宋_GB2312" w:cs="宋体" w:hAnsiTheme="minorHAnsi"/>
          <w:color w:val="auto"/>
          <w:sz w:val="32"/>
          <w:szCs w:val="32"/>
          <w:highlight w:val="none"/>
          <w:lang w:val="en-US" w:eastAsia="zh-CN"/>
        </w:rPr>
        <w:t>符合城市照明设施设置条件的建(构)筑物外立面、线杆等，在不影响其功能和安全的前提下可以安装照明设施，有关单位应当予以支持。</w:t>
      </w:r>
    </w:p>
    <w:p w14:paraId="118370C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第十</w:t>
      </w:r>
      <w:r>
        <w:rPr>
          <w:rFonts w:hint="eastAsia" w:ascii="黑体" w:eastAsia="黑体" w:cs="宋体" w:hAnsiTheme="minorHAnsi"/>
          <w:color w:val="auto"/>
          <w:sz w:val="32"/>
          <w:szCs w:val="32"/>
          <w:highlight w:val="none"/>
          <w:lang w:val="en-US" w:eastAsia="zh-CN"/>
        </w:rPr>
        <w:t>五</w:t>
      </w:r>
      <w:r>
        <w:rPr>
          <w:rFonts w:hint="eastAsia" w:ascii="黑体" w:eastAsia="黑体" w:cs="宋体" w:hAnsiTheme="minorHAnsi"/>
          <w:color w:val="auto"/>
          <w:sz w:val="32"/>
          <w:szCs w:val="32"/>
          <w:highlight w:val="none"/>
        </w:rPr>
        <w:t>条</w:t>
      </w:r>
      <w:r>
        <w:rPr>
          <w:rFonts w:hint="eastAsia" w:ascii="黑体" w:eastAsia="黑体" w:cs="宋体" w:hAnsiTheme="minorHAnsi"/>
          <w:color w:val="auto"/>
          <w:sz w:val="32"/>
          <w:szCs w:val="32"/>
          <w:highlight w:val="none"/>
          <w:lang w:val="en-US" w:eastAsia="zh-CN"/>
        </w:rPr>
        <w:t xml:space="preserve"> </w:t>
      </w:r>
      <w:r>
        <w:rPr>
          <w:rFonts w:hint="eastAsia" w:ascii="仿宋_GB2312" w:eastAsia="仿宋_GB2312" w:cs="宋体" w:hAnsiTheme="minorHAnsi"/>
          <w:color w:val="auto"/>
          <w:sz w:val="32"/>
          <w:szCs w:val="32"/>
          <w:highlight w:val="none"/>
          <w:lang w:val="en-US" w:eastAsia="zh-CN"/>
        </w:rPr>
        <w:t xml:space="preserve">城市照明设施建设应当推动智慧多功能灯杆的设置和使用，集约设置各类杆体，实现“一杆多用、多杆合一”。  </w:t>
      </w:r>
    </w:p>
    <w:p w14:paraId="54F4763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在已建设有多功能灯杆的路段，需要搭载交通指示、安全监控、通信网络、物联感知等设备的，应当优先安装在多功能灯杆上，但不得影响照明设施安全和照明功能。</w:t>
      </w:r>
    </w:p>
    <w:p w14:paraId="1ED22D4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第十</w:t>
      </w:r>
      <w:r>
        <w:rPr>
          <w:rFonts w:hint="eastAsia" w:ascii="黑体" w:eastAsia="黑体" w:cs="宋体" w:hAnsiTheme="minorHAnsi"/>
          <w:color w:val="auto"/>
          <w:sz w:val="32"/>
          <w:szCs w:val="32"/>
          <w:highlight w:val="none"/>
          <w:lang w:val="en-US" w:eastAsia="zh-CN"/>
        </w:rPr>
        <w:t>六</w:t>
      </w:r>
      <w:r>
        <w:rPr>
          <w:rFonts w:hint="eastAsia" w:ascii="黑体" w:eastAsia="黑体" w:cs="宋体" w:hAnsiTheme="minorHAnsi"/>
          <w:color w:val="auto"/>
          <w:sz w:val="32"/>
          <w:szCs w:val="32"/>
          <w:highlight w:val="none"/>
        </w:rPr>
        <w:t xml:space="preserve">条 </w:t>
      </w:r>
      <w:r>
        <w:rPr>
          <w:rFonts w:hint="eastAsia" w:ascii="仿宋_GB2312" w:eastAsia="仿宋_GB2312" w:cs="宋体" w:hAnsiTheme="minorHAnsi"/>
          <w:color w:val="auto"/>
          <w:sz w:val="32"/>
          <w:szCs w:val="32"/>
          <w:highlight w:val="none"/>
          <w:lang w:val="en-US" w:eastAsia="zh-CN"/>
        </w:rPr>
        <w:t>城市照明设施上搭载的有关设备的运行、维护和安全由设备的所有权人负责，产生的电费由设备所有权人承担。</w:t>
      </w:r>
    </w:p>
    <w:p w14:paraId="34ACF3B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第十七条 </w:t>
      </w:r>
      <w:r>
        <w:rPr>
          <w:rFonts w:hint="eastAsia" w:ascii="仿宋_GB2312" w:eastAsia="仿宋_GB2312" w:cs="宋体" w:hAnsiTheme="minorHAnsi"/>
          <w:color w:val="auto"/>
          <w:sz w:val="32"/>
          <w:szCs w:val="32"/>
          <w:highlight w:val="none"/>
          <w:lang w:val="en-US" w:eastAsia="zh-CN"/>
        </w:rPr>
        <w:t>城市道路照明设施管线应当按照规定敷设于地下。未敷设于地下的道路照明管线，应当逐步进行改造。</w:t>
      </w:r>
    </w:p>
    <w:p w14:paraId="4383204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第十八条 </w:t>
      </w:r>
      <w:r>
        <w:rPr>
          <w:rFonts w:hint="eastAsia" w:ascii="仿宋_GB2312" w:eastAsia="仿宋_GB2312" w:cs="宋体" w:hAnsiTheme="minorHAnsi"/>
          <w:color w:val="auto"/>
          <w:sz w:val="32"/>
          <w:szCs w:val="32"/>
          <w:highlight w:val="none"/>
          <w:lang w:val="en-US" w:eastAsia="zh-CN"/>
        </w:rPr>
        <w:t>设置城市照明设施应当符合国家相关安全规范的要求，并遵守下列规定：</w:t>
      </w:r>
    </w:p>
    <w:p w14:paraId="5D4DE36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(一)不得妨碍居民生活；</w:t>
      </w:r>
    </w:p>
    <w:p w14:paraId="6BD58C3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(二)不得妨碍交通信号灯和标示牌的正常使用；</w:t>
      </w:r>
    </w:p>
    <w:p w14:paraId="3A74B22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(三)不得妨碍车辆的正常行驶；</w:t>
      </w:r>
    </w:p>
    <w:p w14:paraId="3E6763A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(四)不得影响建(构)筑物、城市绿化、市政基础设施等公共设施的正常使用；</w:t>
      </w:r>
    </w:p>
    <w:p w14:paraId="3AABBC0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(五)符合光污染控制标准，与周围环境相协调。</w:t>
      </w:r>
    </w:p>
    <w:p w14:paraId="47DD954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黑体" w:eastAsia="黑体" w:cs="宋体" w:hAnsiTheme="minorHAnsi"/>
          <w:color w:val="auto"/>
          <w:sz w:val="32"/>
          <w:szCs w:val="32"/>
          <w:highlight w:val="none"/>
        </w:rPr>
      </w:pPr>
      <w:r>
        <w:rPr>
          <w:rFonts w:hint="eastAsia" w:ascii="黑体" w:eastAsia="黑体" w:cs="宋体" w:hAnsiTheme="minorHAnsi"/>
          <w:b w:val="0"/>
          <w:bCs w:val="0"/>
          <w:color w:val="auto"/>
          <w:kern w:val="2"/>
          <w:sz w:val="32"/>
          <w:szCs w:val="32"/>
          <w:highlight w:val="none"/>
          <w:lang w:val="en-US" w:eastAsia="zh-CN" w:bidi="ar-SA"/>
        </w:rPr>
        <w:t>第三章 节能管理</w:t>
      </w:r>
    </w:p>
    <w:p w14:paraId="2E01F19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黑体" w:hAnsi="黑体" w:eastAsia="黑体" w:cs="黑体"/>
          <w:b w:val="0"/>
          <w:bCs w:val="0"/>
          <w:color w:val="auto"/>
          <w:sz w:val="32"/>
          <w:szCs w:val="32"/>
          <w:highlight w:val="none"/>
        </w:rPr>
      </w:pPr>
      <w:r>
        <w:rPr>
          <w:rFonts w:hint="eastAsia" w:ascii="黑体" w:eastAsia="黑体" w:cs="宋体" w:hAnsiTheme="minorHAnsi"/>
          <w:color w:val="auto"/>
          <w:sz w:val="32"/>
          <w:szCs w:val="32"/>
          <w:highlight w:val="none"/>
        </w:rPr>
        <w:t>第十</w:t>
      </w:r>
      <w:r>
        <w:rPr>
          <w:rFonts w:hint="eastAsia" w:ascii="黑体" w:eastAsia="黑体" w:cs="宋体" w:hAnsiTheme="minorHAnsi"/>
          <w:color w:val="auto"/>
          <w:sz w:val="32"/>
          <w:szCs w:val="32"/>
          <w:highlight w:val="none"/>
          <w:lang w:val="en-US" w:eastAsia="zh-CN"/>
        </w:rPr>
        <w:t>九</w:t>
      </w:r>
      <w:r>
        <w:rPr>
          <w:rFonts w:hint="eastAsia" w:ascii="黑体" w:eastAsia="黑体" w:cs="宋体" w:hAnsiTheme="minorHAnsi"/>
          <w:color w:val="auto"/>
          <w:sz w:val="32"/>
          <w:szCs w:val="32"/>
          <w:highlight w:val="none"/>
        </w:rPr>
        <w:t xml:space="preserve">条 </w:t>
      </w:r>
      <w:r>
        <w:rPr>
          <w:rFonts w:hint="eastAsia" w:ascii="仿宋_GB2312" w:eastAsia="仿宋_GB2312" w:cs="宋体" w:hAnsiTheme="minorHAnsi"/>
          <w:color w:val="auto"/>
          <w:sz w:val="32"/>
          <w:szCs w:val="32"/>
          <w:highlight w:val="none"/>
          <w:lang w:val="en-US" w:eastAsia="zh-CN"/>
        </w:rPr>
        <w:t>城市照明主管部门应当建设城市照明智能控制系统，逐步实现对城市照明设施进行智能化管理。</w:t>
      </w:r>
    </w:p>
    <w:p w14:paraId="04B08D4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hAnsi="黑体" w:eastAsia="黑体" w:cs="黑体"/>
          <w:color w:val="auto"/>
          <w:sz w:val="32"/>
          <w:szCs w:val="32"/>
          <w:highlight w:val="none"/>
          <w:lang w:val="en-US" w:eastAsia="zh-CN"/>
        </w:rPr>
        <w:t>第二十条</w:t>
      </w:r>
      <w:r>
        <w:rPr>
          <w:rFonts w:hint="eastAsia" w:ascii="仿宋_GB2312" w:eastAsia="仿宋_GB2312" w:cs="宋体" w:hAnsiTheme="minorHAnsi"/>
          <w:color w:val="auto"/>
          <w:sz w:val="32"/>
          <w:szCs w:val="32"/>
          <w:highlight w:val="none"/>
          <w:lang w:val="en-US" w:eastAsia="zh-CN"/>
        </w:rPr>
        <w:t xml:space="preserve"> 城市照明主管部门应当依据城市照明专项规划，制定城市照明节能计划和采取节能技术措施，优先发展和建设功能照明，严格控制景观照明的范围、亮度和能耗密度。</w:t>
      </w:r>
    </w:p>
    <w:p w14:paraId="29125BD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任何单位不得在城市景观照明中有过度照明等超能耗标准的行为。</w:t>
      </w:r>
    </w:p>
    <w:p w14:paraId="19C62E2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第</w:t>
      </w:r>
      <w:r>
        <w:rPr>
          <w:rFonts w:hint="eastAsia" w:ascii="黑体" w:hAnsi="黑体" w:eastAsia="黑体" w:cs="黑体"/>
          <w:color w:val="auto"/>
          <w:sz w:val="32"/>
          <w:szCs w:val="32"/>
          <w:highlight w:val="none"/>
          <w:lang w:val="en-US" w:eastAsia="zh-CN"/>
        </w:rPr>
        <w:t>二十一</w:t>
      </w:r>
      <w:r>
        <w:rPr>
          <w:rFonts w:hint="eastAsia" w:ascii="黑体" w:eastAsia="黑体" w:cs="宋体" w:hAnsiTheme="minorHAnsi"/>
          <w:b w:val="0"/>
          <w:bCs w:val="0"/>
          <w:color w:val="auto"/>
          <w:kern w:val="2"/>
          <w:sz w:val="32"/>
          <w:szCs w:val="32"/>
          <w:highlight w:val="none"/>
          <w:lang w:val="en-US" w:eastAsia="zh-CN" w:bidi="ar-SA"/>
        </w:rPr>
        <w:t xml:space="preserve">条 </w:t>
      </w:r>
      <w:r>
        <w:rPr>
          <w:rFonts w:hint="eastAsia" w:ascii="仿宋_GB2312" w:eastAsia="仿宋_GB2312" w:cs="宋体" w:hAnsiTheme="minorHAnsi"/>
          <w:color w:val="auto"/>
          <w:sz w:val="32"/>
          <w:szCs w:val="32"/>
          <w:highlight w:val="none"/>
          <w:lang w:val="en-US" w:eastAsia="zh-CN"/>
        </w:rPr>
        <w:t>城市照明主管部门应当按照下列节能方式和措施管理城市照明设施：</w:t>
      </w:r>
    </w:p>
    <w:p w14:paraId="128E99C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（一）采用分区域、分时段的照明节能控制措施；</w:t>
      </w:r>
    </w:p>
    <w:p w14:paraId="144CEDB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（二）实行平时、一般节假日、重大节庆活动三级城市照明控制模式；</w:t>
      </w:r>
    </w:p>
    <w:p w14:paraId="7E00569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（三）定期清洗照明灯具、及时更换达到使用寿命的光源和相关电器设施；</w:t>
      </w:r>
    </w:p>
    <w:p w14:paraId="4A37B46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（四）使用节能照明设备和节能控制系统；</w:t>
      </w:r>
    </w:p>
    <w:p w14:paraId="163BB87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（五）使用高效光源灯具，淘汰低效光源等不符合节能环保要求的灯具；</w:t>
      </w:r>
    </w:p>
    <w:p w14:paraId="15E3042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（六）其他节能方式和措施。</w:t>
      </w:r>
    </w:p>
    <w:p w14:paraId="3960D72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第四章 维护管理</w:t>
      </w:r>
    </w:p>
    <w:p w14:paraId="108572E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第二十二条 </w:t>
      </w:r>
      <w:r>
        <w:rPr>
          <w:rFonts w:hint="eastAsia" w:ascii="仿宋_GB2312" w:eastAsia="仿宋_GB2312" w:cs="宋体" w:hAnsiTheme="minorHAnsi"/>
          <w:color w:val="auto"/>
          <w:sz w:val="32"/>
          <w:szCs w:val="32"/>
          <w:highlight w:val="none"/>
          <w:lang w:val="en-US" w:eastAsia="zh-CN"/>
        </w:rPr>
        <w:t>非政府投资建设的城市照明设施符合下列条件的，办理资产移交手续后，可以移交城市照明主管部门维护：</w:t>
      </w:r>
    </w:p>
    <w:p w14:paraId="7682A2C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（一）符合城市照明专项规划及有关标准；</w:t>
      </w:r>
    </w:p>
    <w:p w14:paraId="362E17C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（二）具备纳入城市照明智能控制系统的技术和安全条件；</w:t>
      </w:r>
    </w:p>
    <w:p w14:paraId="7AE8B03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（三）有完整的竣工验收资料；</w:t>
      </w:r>
    </w:p>
    <w:p w14:paraId="2660205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（四）亮灯率、设施完好率达百分之一百；</w:t>
      </w:r>
    </w:p>
    <w:p w14:paraId="2C1920C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（五）有必要的维护、运行条件；</w:t>
      </w:r>
    </w:p>
    <w:p w14:paraId="2F056A0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黑体" w:eastAsia="黑体"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（六）已结清电费并完成用电变更手续。</w:t>
      </w:r>
    </w:p>
    <w:p w14:paraId="49DA9EF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第二十三条 </w:t>
      </w:r>
      <w:r>
        <w:rPr>
          <w:rFonts w:hint="eastAsia" w:ascii="仿宋_GB2312" w:eastAsia="仿宋_GB2312" w:cs="宋体" w:hAnsiTheme="minorHAnsi"/>
          <w:color w:val="auto"/>
          <w:sz w:val="32"/>
          <w:szCs w:val="32"/>
          <w:highlight w:val="none"/>
          <w:lang w:val="en-US" w:eastAsia="zh-CN"/>
        </w:rPr>
        <w:t>政府投资建设和非政府投资建设已移交城市照明主管部门的城市照明设施由城市照明主管部门负责维护；其他城市照明设施，由所有权人或者管理人负责维护。</w:t>
      </w:r>
    </w:p>
    <w:p w14:paraId="458A6DA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第二十四条 </w:t>
      </w:r>
      <w:r>
        <w:rPr>
          <w:rFonts w:hint="eastAsia" w:ascii="仿宋_GB2312" w:eastAsia="仿宋_GB2312" w:cs="宋体" w:hAnsiTheme="minorHAnsi"/>
          <w:color w:val="auto"/>
          <w:sz w:val="32"/>
          <w:szCs w:val="32"/>
          <w:highlight w:val="none"/>
          <w:lang w:val="en-US" w:eastAsia="zh-CN"/>
        </w:rPr>
        <w:t>城市功能照明设施应当根据预先设定的日出日落时间，由城市照明智能控制系统自动启闭，并根据天气因素适时调整。城市景观照明设施启闭时间，由城市照明主管部门根据实际需要确定。</w:t>
      </w:r>
    </w:p>
    <w:p w14:paraId="7384825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仿宋_GB2312" w:eastAsia="仿宋_GB2312" w:cs="宋体" w:hAnsiTheme="minorHAnsi"/>
          <w:color w:val="auto"/>
          <w:sz w:val="32"/>
          <w:szCs w:val="32"/>
          <w:highlight w:val="none"/>
          <w:lang w:val="en-US" w:eastAsia="zh-CN"/>
        </w:rPr>
      </w:pPr>
      <w:r>
        <w:rPr>
          <w:rFonts w:hint="default" w:ascii="仿宋_GB2312" w:eastAsia="仿宋_GB2312" w:cs="宋体" w:hAnsiTheme="minorHAnsi"/>
          <w:color w:val="auto"/>
          <w:sz w:val="32"/>
          <w:szCs w:val="32"/>
          <w:highlight w:val="none"/>
          <w:lang w:val="en-US" w:eastAsia="zh-CN"/>
        </w:rPr>
        <w:t>因特殊情况需临时调整城市照明设施启闭时间的，按市城市照明主管部门的通知执行。</w:t>
      </w:r>
    </w:p>
    <w:p w14:paraId="1B56A57B">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rPr>
        <w:t>第二十</w:t>
      </w:r>
      <w:r>
        <w:rPr>
          <w:rFonts w:hint="eastAsia" w:ascii="黑体" w:eastAsia="黑体" w:cs="宋体" w:hAnsiTheme="minorHAnsi"/>
          <w:color w:val="auto"/>
          <w:sz w:val="32"/>
          <w:szCs w:val="32"/>
          <w:highlight w:val="none"/>
          <w:lang w:val="en-US" w:eastAsia="zh-CN"/>
        </w:rPr>
        <w:t>五</w:t>
      </w:r>
      <w:r>
        <w:rPr>
          <w:rFonts w:hint="eastAsia" w:ascii="黑体" w:eastAsia="黑体" w:cs="宋体" w:hAnsiTheme="minorHAnsi"/>
          <w:color w:val="auto"/>
          <w:sz w:val="32"/>
          <w:szCs w:val="32"/>
          <w:highlight w:val="none"/>
        </w:rPr>
        <w:t xml:space="preserve">条 </w:t>
      </w:r>
      <w:r>
        <w:rPr>
          <w:rFonts w:hint="eastAsia" w:ascii="仿宋_GB2312" w:eastAsia="仿宋_GB2312" w:cs="宋体" w:hAnsiTheme="minorHAnsi"/>
          <w:color w:val="auto"/>
          <w:sz w:val="32"/>
          <w:szCs w:val="32"/>
          <w:highlight w:val="none"/>
          <w:lang w:val="en-US" w:eastAsia="zh-CN"/>
        </w:rPr>
        <w:t>对城市照明设施的运行应当采用集中控制、分区控制、单体控制和单灯控制相结合的方式，实行联网监控和管理。</w:t>
      </w:r>
    </w:p>
    <w:p w14:paraId="15EF5CE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第二十六条 </w:t>
      </w:r>
      <w:r>
        <w:rPr>
          <w:rFonts w:hint="eastAsia" w:ascii="仿宋_GB2312" w:eastAsia="仿宋_GB2312" w:cs="宋体" w:hAnsiTheme="minorHAnsi"/>
          <w:color w:val="auto"/>
          <w:sz w:val="32"/>
          <w:szCs w:val="32"/>
          <w:highlight w:val="none"/>
          <w:lang w:val="en-US" w:eastAsia="zh-CN"/>
        </w:rPr>
        <w:t>城市照明设施维护应当严格执行城市照明设施维护技术规范，及时排除城市照明设施隐患、故障，保障城市照明设施安全、正常运行。</w:t>
      </w:r>
    </w:p>
    <w:p w14:paraId="3EE4400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第二十七条 </w:t>
      </w:r>
      <w:r>
        <w:rPr>
          <w:rFonts w:hint="default" w:ascii="仿宋_GB2312" w:eastAsia="仿宋_GB2312" w:cs="宋体" w:hAnsiTheme="minorHAnsi"/>
          <w:color w:val="auto"/>
          <w:sz w:val="32"/>
          <w:szCs w:val="32"/>
          <w:highlight w:val="none"/>
          <w:lang w:val="en-US" w:eastAsia="zh-CN"/>
        </w:rPr>
        <w:t>新建城市照明设施选址安装时应充分考虑与现有树木的安全距离。</w:t>
      </w:r>
    </w:p>
    <w:p w14:paraId="5078450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仿宋_GB2312" w:eastAsia="仿宋_GB2312" w:cs="宋体" w:hAnsiTheme="minorHAnsi"/>
          <w:color w:val="auto"/>
          <w:sz w:val="32"/>
          <w:szCs w:val="32"/>
          <w:highlight w:val="none"/>
          <w:lang w:val="en-US" w:eastAsia="zh-CN"/>
        </w:rPr>
      </w:pPr>
      <w:r>
        <w:rPr>
          <w:rFonts w:hint="default" w:ascii="仿宋_GB2312" w:eastAsia="仿宋_GB2312" w:cs="宋体" w:hAnsiTheme="minorHAnsi"/>
          <w:color w:val="auto"/>
          <w:sz w:val="32"/>
          <w:szCs w:val="32"/>
          <w:highlight w:val="none"/>
          <w:lang w:val="en-US" w:eastAsia="zh-CN"/>
        </w:rPr>
        <w:t>因树木自然生长而不符合安全距离要求或者影响照明效果的，城市照明主管部门应当及时告知林业和园林主管部门，林业和园林主管部门应当按照规定及时予以处理。</w:t>
      </w:r>
    </w:p>
    <w:p w14:paraId="72AB1BE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color w:val="auto"/>
          <w:sz w:val="32"/>
          <w:szCs w:val="32"/>
          <w:highlight w:val="none"/>
          <w:lang w:val="en-US" w:eastAsia="zh-CN"/>
        </w:rPr>
      </w:pPr>
      <w:r>
        <w:rPr>
          <w:rFonts w:hint="default" w:ascii="仿宋_GB2312" w:eastAsia="仿宋_GB2312" w:cs="宋体" w:hAnsiTheme="minorHAnsi"/>
          <w:color w:val="auto"/>
          <w:sz w:val="32"/>
          <w:szCs w:val="32"/>
          <w:highlight w:val="none"/>
          <w:lang w:val="en-US" w:eastAsia="zh-CN"/>
        </w:rPr>
        <w:t>树木危及城市照明设施安全运行的，城市照明主管部门可以采取紧急措施先行处理，并同时报告林业和园林主管部门。</w:t>
      </w:r>
    </w:p>
    <w:p w14:paraId="51271AE9">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 xml:space="preserve">第二十八条 </w:t>
      </w:r>
      <w:r>
        <w:rPr>
          <w:rFonts w:hint="eastAsia" w:ascii="仿宋_GB2312" w:eastAsia="仿宋_GB2312" w:cs="宋体" w:hAnsiTheme="minorHAnsi"/>
          <w:color w:val="auto"/>
          <w:sz w:val="32"/>
          <w:szCs w:val="32"/>
          <w:highlight w:val="none"/>
          <w:lang w:val="en-US" w:eastAsia="zh-CN"/>
        </w:rPr>
        <w:t>禁止下列损害或者影响城市照明设施安全、正常运行的行为：</w:t>
      </w:r>
    </w:p>
    <w:p w14:paraId="41C51A54">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（一）在城市照明设施上刻划、涂污；</w:t>
      </w:r>
    </w:p>
    <w:p w14:paraId="0B03C582">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（二）擅自拆除</w:t>
      </w:r>
      <w:r>
        <w:rPr>
          <w:rFonts w:hint="default" w:ascii="仿宋_GB2312" w:eastAsia="仿宋_GB2312" w:cs="宋体" w:hAnsiTheme="minorHAnsi"/>
          <w:color w:val="auto"/>
          <w:sz w:val="32"/>
          <w:szCs w:val="32"/>
          <w:highlight w:val="none"/>
          <w:lang w:eastAsia="zh-CN"/>
        </w:rPr>
        <w:t>、</w:t>
      </w:r>
      <w:r>
        <w:rPr>
          <w:rFonts w:hint="eastAsia" w:ascii="仿宋_GB2312" w:eastAsia="仿宋_GB2312" w:cs="宋体" w:hAnsiTheme="minorHAnsi"/>
          <w:color w:val="auto"/>
          <w:sz w:val="32"/>
          <w:szCs w:val="32"/>
          <w:highlight w:val="none"/>
          <w:lang w:val="en-US" w:eastAsia="zh-CN"/>
        </w:rPr>
        <w:t>迁移、改动城市照明设施；</w:t>
      </w:r>
    </w:p>
    <w:p w14:paraId="0847550A">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（三）在城市照明设施安全距离内，擅自植树、挖坑取土或者设置其他物体，或者倾倒含酸、碱、盐等腐蚀物或者具有腐蚀性的废渣、废液；</w:t>
      </w:r>
    </w:p>
    <w:p w14:paraId="395E4EBA">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（四）擅自在城市照明设施上架设线缆、安置其他设施或者接用电源；</w:t>
      </w:r>
    </w:p>
    <w:p w14:paraId="7095145B">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（五）非城市照明设施管理人员攀登路灯灯柱、变压器台或者开启控制箱；</w:t>
      </w:r>
    </w:p>
    <w:p w14:paraId="26E6D21E">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（六）非法占用城市照明设施；</w:t>
      </w:r>
    </w:p>
    <w:p w14:paraId="2397AC42">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（七）在路灯柱周围一米内堆放各种物料；</w:t>
      </w:r>
    </w:p>
    <w:p w14:paraId="2D8548A3">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（八）擅自在城市照明灯杆上安置广告牌或者其他挂浮物，张贴广告、标语；</w:t>
      </w:r>
    </w:p>
    <w:p w14:paraId="1D619261">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（九）损坏、盗窃灯具、电线等城市照明设施及附属设备；</w:t>
      </w:r>
    </w:p>
    <w:p w14:paraId="6D05382B">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（十）其他损害城市照明设施的行为。</w:t>
      </w:r>
    </w:p>
    <w:p w14:paraId="633E8F1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第</w:t>
      </w:r>
      <w:r>
        <w:rPr>
          <w:rFonts w:hint="eastAsia" w:ascii="黑体" w:eastAsia="黑体" w:cs="宋体" w:hAnsiTheme="minorHAnsi"/>
          <w:b w:val="0"/>
          <w:bCs w:val="0"/>
          <w:color w:val="auto"/>
          <w:kern w:val="2"/>
          <w:sz w:val="32"/>
          <w:szCs w:val="32"/>
          <w:highlight w:val="none"/>
          <w:lang w:val="en-US" w:eastAsia="zh-CN" w:bidi="ar-SA"/>
        </w:rPr>
        <w:t>二十九</w:t>
      </w:r>
      <w:r>
        <w:rPr>
          <w:rFonts w:hint="eastAsia" w:ascii="黑体" w:eastAsia="黑体" w:cs="宋体" w:hAnsiTheme="minorHAnsi"/>
          <w:color w:val="auto"/>
          <w:sz w:val="32"/>
          <w:szCs w:val="32"/>
          <w:highlight w:val="none"/>
          <w:lang w:val="en-US" w:eastAsia="zh-CN"/>
        </w:rPr>
        <w:t xml:space="preserve">条 </w:t>
      </w:r>
      <w:r>
        <w:rPr>
          <w:rFonts w:hint="eastAsia" w:ascii="仿宋_GB2312" w:eastAsia="仿宋_GB2312" w:cs="宋体" w:hAnsiTheme="minorHAnsi"/>
          <w:color w:val="auto"/>
          <w:sz w:val="32"/>
          <w:szCs w:val="32"/>
          <w:highlight w:val="none"/>
          <w:lang w:val="en-US" w:eastAsia="zh-CN"/>
        </w:rPr>
        <w:t>确需利用城市照明设施设置、悬挂宣传品和广告，或者在城市照明设施上架设线缆、设置其他设施的，应当征得城市照明设施所有权人或者管理人同意。</w:t>
      </w:r>
    </w:p>
    <w:p w14:paraId="0A0DE62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第</w:t>
      </w:r>
      <w:r>
        <w:rPr>
          <w:rFonts w:hint="eastAsia" w:ascii="黑体" w:eastAsia="黑体" w:cs="宋体" w:hAnsiTheme="minorHAnsi"/>
          <w:b w:val="0"/>
          <w:bCs w:val="0"/>
          <w:color w:val="auto"/>
          <w:kern w:val="2"/>
          <w:sz w:val="32"/>
          <w:szCs w:val="32"/>
          <w:highlight w:val="none"/>
          <w:lang w:val="en-US" w:eastAsia="zh-CN" w:bidi="ar-SA"/>
        </w:rPr>
        <w:t>三十</w:t>
      </w:r>
      <w:r>
        <w:rPr>
          <w:rFonts w:hint="eastAsia" w:ascii="黑体" w:eastAsia="黑体" w:cs="宋体" w:hAnsiTheme="minorHAnsi"/>
          <w:color w:val="auto"/>
          <w:sz w:val="32"/>
          <w:szCs w:val="32"/>
          <w:highlight w:val="none"/>
          <w:lang w:val="en-US" w:eastAsia="zh-CN"/>
        </w:rPr>
        <w:t xml:space="preserve">条 </w:t>
      </w:r>
      <w:r>
        <w:rPr>
          <w:rFonts w:hint="eastAsia" w:ascii="仿宋_GB2312" w:eastAsia="仿宋_GB2312" w:cs="宋体" w:hAnsiTheme="minorHAnsi"/>
          <w:color w:val="auto"/>
          <w:sz w:val="32"/>
          <w:szCs w:val="32"/>
          <w:highlight w:val="none"/>
          <w:lang w:val="en-US" w:eastAsia="zh-CN"/>
        </w:rPr>
        <w:t>因工程建设需要，确需拆除、迁移、改动城市照明设施的，建设单位应当在施工前按照有关规定办理审批手续。</w:t>
      </w:r>
    </w:p>
    <w:p w14:paraId="47F1495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拆除、迁移、改动城市照明设施的应当由具有相应资质的单位实施，所需费用由建设单位承担。施工时，应当采取必要的保护措施，并接受城市照明主管部门的监督。</w:t>
      </w:r>
    </w:p>
    <w:p w14:paraId="4D3AE02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因抢险救灾等紧急情况需要拆除、迁移城市照明设施的，应当及时告知城市照明主管部门。</w:t>
      </w:r>
    </w:p>
    <w:p w14:paraId="160E556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第三十一条 </w:t>
      </w:r>
      <w:r>
        <w:rPr>
          <w:rFonts w:hint="eastAsia" w:ascii="仿宋_GB2312" w:eastAsia="仿宋_GB2312" w:cs="宋体" w:hAnsiTheme="minorHAnsi"/>
          <w:color w:val="auto"/>
          <w:sz w:val="32"/>
          <w:szCs w:val="32"/>
          <w:highlight w:val="none"/>
          <w:lang w:val="en-US" w:eastAsia="zh-CN"/>
        </w:rPr>
        <w:t>因工程建设需要，临时迁移、改动城市功能照明设施的，建设单位应当负责采取防护措施，设置临时照明设施。工程竣工后，应当立即恢复城市功能照明设施。</w:t>
      </w:r>
    </w:p>
    <w:p w14:paraId="051E204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建设单位不具备恢复城市功能照明设施能力的，由城市照明主管部门予以恢复，其费用由建设单位承担。</w:t>
      </w:r>
    </w:p>
    <w:p w14:paraId="67EE760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第三十二条 </w:t>
      </w:r>
      <w:r>
        <w:rPr>
          <w:rFonts w:hint="eastAsia" w:ascii="仿宋_GB2312" w:eastAsia="仿宋_GB2312" w:cs="宋体" w:hAnsiTheme="minorHAnsi"/>
          <w:color w:val="auto"/>
          <w:sz w:val="32"/>
          <w:szCs w:val="32"/>
          <w:highlight w:val="none"/>
          <w:lang w:val="en-US" w:eastAsia="zh-CN"/>
        </w:rPr>
        <w:t>禁止擅自在城市照明设施上接用电源。确需从城市照明设施接电的，应当征得城市照明设施所有权人或者管理人同意。</w:t>
      </w:r>
    </w:p>
    <w:p w14:paraId="5AAF115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第三十三条 </w:t>
      </w:r>
      <w:r>
        <w:rPr>
          <w:rFonts w:hint="eastAsia" w:ascii="仿宋_GB2312" w:eastAsia="仿宋_GB2312" w:cs="宋体" w:hAnsiTheme="minorHAnsi"/>
          <w:color w:val="auto"/>
          <w:sz w:val="32"/>
          <w:szCs w:val="32"/>
          <w:highlight w:val="none"/>
          <w:lang w:val="en-US" w:eastAsia="zh-CN"/>
        </w:rPr>
        <w:t>因交通事故或者其他原因造成城市照明设施损坏的，事故责任人应当采取措施，防止事故扩大，并立即通知城市照明主管部门。</w:t>
      </w:r>
    </w:p>
    <w:p w14:paraId="407B9C0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第三十四条 </w:t>
      </w:r>
      <w:r>
        <w:rPr>
          <w:rFonts w:hint="eastAsia" w:ascii="仿宋_GB2312" w:eastAsia="仿宋_GB2312" w:cs="宋体" w:hAnsiTheme="minorHAnsi"/>
          <w:color w:val="auto"/>
          <w:sz w:val="32"/>
          <w:szCs w:val="32"/>
          <w:highlight w:val="none"/>
          <w:lang w:val="en-US" w:eastAsia="zh-CN"/>
        </w:rPr>
        <w:t>城市照明主管部门应当建立投诉处理机制，及时处理社会公众对城市照明管理的投诉举报，并将处理情况答复投诉人。</w:t>
      </w:r>
    </w:p>
    <w:p w14:paraId="52D7346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第五章 法律责任</w:t>
      </w:r>
    </w:p>
    <w:p w14:paraId="64F2B628">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第三十五条 </w:t>
      </w:r>
      <w:r>
        <w:rPr>
          <w:rFonts w:hint="eastAsia" w:ascii="仿宋_GB2312" w:eastAsia="仿宋_GB2312" w:cs="宋体" w:hAnsiTheme="minorHAnsi"/>
          <w:color w:val="auto"/>
          <w:sz w:val="32"/>
          <w:szCs w:val="32"/>
          <w:highlight w:val="none"/>
          <w:lang w:val="en-US" w:eastAsia="zh-CN"/>
        </w:rPr>
        <w:t>违反本办法第二十条第二款规定，在景观照明中有过度照明等超能耗标准行为的，由城市照明主管部门责令限期改正；逾期未改正的，处一千元以上三万元以下罚款。</w:t>
      </w:r>
    </w:p>
    <w:p w14:paraId="7D83796C">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第三十六条 </w:t>
      </w:r>
      <w:r>
        <w:rPr>
          <w:rFonts w:hint="eastAsia" w:ascii="仿宋_GB2312" w:eastAsia="仿宋_GB2312" w:cs="宋体" w:hAnsiTheme="minorHAnsi"/>
          <w:color w:val="auto"/>
          <w:sz w:val="32"/>
          <w:szCs w:val="32"/>
          <w:highlight w:val="none"/>
          <w:lang w:val="en-US" w:eastAsia="zh-CN"/>
        </w:rPr>
        <w:t>违反本办法，有第二十八条规定行为之一的，由城市管理部门责令限期改正，对个人处二百元以上一千元以下的罚款；对单位处一千元以上三万元以下的罚款；造成损失的，依法承担赔偿责任。</w:t>
      </w:r>
    </w:p>
    <w:p w14:paraId="57BC902C">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第三十七条 </w:t>
      </w:r>
      <w:r>
        <w:rPr>
          <w:rFonts w:hint="eastAsia" w:ascii="仿宋_GB2312" w:eastAsia="仿宋_GB2312" w:cs="宋体" w:hAnsiTheme="minorHAnsi"/>
          <w:color w:val="auto"/>
          <w:sz w:val="32"/>
          <w:szCs w:val="32"/>
          <w:highlight w:val="none"/>
          <w:lang w:val="en-US" w:eastAsia="zh-CN"/>
        </w:rPr>
        <w:t>城市照明主管部门及有关部门工作人员在城市照明管理工作中，玩忽职守、滥用职权、徇私舞弊的，</w:t>
      </w:r>
    </w:p>
    <w:p w14:paraId="3684317B">
      <w:pPr>
        <w:keepNext w:val="0"/>
        <w:pageBreakBefore w:val="0"/>
        <w:widowControl w:val="0"/>
        <w:kinsoku/>
        <w:wordWrap/>
        <w:overflowPunct/>
        <w:topLinePunct w:val="0"/>
        <w:autoSpaceDE/>
        <w:autoSpaceDN/>
        <w:bidi w:val="0"/>
        <w:spacing w:line="360" w:lineRule="auto"/>
        <w:ind w:left="0" w:leftChars="0" w:firstLine="0" w:firstLineChars="0"/>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依法给予处分。</w:t>
      </w:r>
    </w:p>
    <w:p w14:paraId="5B5D65C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b w:val="0"/>
          <w:bCs w:val="0"/>
          <w:color w:val="auto"/>
          <w:kern w:val="2"/>
          <w:sz w:val="32"/>
          <w:szCs w:val="32"/>
          <w:highlight w:val="none"/>
          <w:lang w:val="en-US" w:eastAsia="zh-CN" w:bidi="ar-SA"/>
        </w:rPr>
        <w:t>第六章 附 则</w:t>
      </w:r>
    </w:p>
    <w:p w14:paraId="122793AD">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第三十八条 </w:t>
      </w:r>
      <w:r>
        <w:rPr>
          <w:rFonts w:hint="eastAsia" w:ascii="仿宋_GB2312" w:eastAsia="仿宋_GB2312" w:cs="宋体" w:hAnsiTheme="minorHAnsi"/>
          <w:color w:val="auto"/>
          <w:sz w:val="32"/>
          <w:szCs w:val="32"/>
          <w:highlight w:val="none"/>
          <w:lang w:val="en-US" w:eastAsia="zh-CN"/>
        </w:rPr>
        <w:t>本办法下列用语的含义是：</w:t>
      </w:r>
    </w:p>
    <w:p w14:paraId="422B36B0">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（一）城市照明是指在城市规划区内城市道路、桥梁、隧道、广场、公园、公共绿地、名胜古迹以及其他建(构)筑物的功能照明或者景观照明。</w:t>
      </w:r>
    </w:p>
    <w:p w14:paraId="4F98CA9A">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（二）功能照明是指通过人工光以保障人们出行和户外活动安全为目的的照明。</w:t>
      </w:r>
    </w:p>
    <w:p w14:paraId="0DBF4395">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（三）景观照明是指在户外通过人工光以装饰和造景为目的的照明。</w:t>
      </w:r>
    </w:p>
    <w:p w14:paraId="331DD6C5">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仿宋_GB2312" w:eastAsia="仿宋_GB2312" w:cs="宋体" w:hAnsiTheme="minorHAnsi"/>
          <w:color w:val="auto"/>
          <w:sz w:val="32"/>
          <w:szCs w:val="32"/>
          <w:highlight w:val="none"/>
          <w:lang w:val="en-US" w:eastAsia="zh-CN"/>
        </w:rPr>
        <w:t>（四）城市照明设施是指用于城市照明的照明器具以及配电、监控、节能等系统的设备和附属设施等。</w:t>
      </w:r>
    </w:p>
    <w:p w14:paraId="07F64008">
      <w:pPr>
        <w:keepNext w:val="0"/>
        <w:pageBreakBefore w:val="0"/>
        <w:widowControl w:val="0"/>
        <w:kinsoku/>
        <w:wordWrap/>
        <w:overflowPunct/>
        <w:topLinePunct w:val="0"/>
        <w:autoSpaceDE/>
        <w:autoSpaceDN/>
        <w:bidi w:val="0"/>
        <w:spacing w:line="360" w:lineRule="auto"/>
        <w:jc w:val="both"/>
        <w:textAlignment w:val="auto"/>
        <w:outlineLvl w:val="9"/>
        <w:rPr>
          <w:rFonts w:hint="eastAsia" w:ascii="仿宋_GB2312" w:eastAsia="仿宋_GB2312" w:cs="宋体" w:hAnsiTheme="minorHAnsi"/>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第三十九条 </w:t>
      </w:r>
      <w:r>
        <w:rPr>
          <w:rFonts w:hint="eastAsia" w:ascii="仿宋_GB2312" w:eastAsia="仿宋_GB2312" w:cs="宋体" w:hAnsiTheme="minorHAnsi"/>
          <w:color w:val="auto"/>
          <w:sz w:val="32"/>
          <w:szCs w:val="32"/>
          <w:highlight w:val="none"/>
          <w:lang w:val="en-US" w:eastAsia="zh-CN"/>
        </w:rPr>
        <w:t>县（市）城市照明管理，参照本办法执行。</w:t>
      </w:r>
    </w:p>
    <w:p w14:paraId="404EA4D4">
      <w:pPr>
        <w:keepNext w:val="0"/>
        <w:pageBreakBefore w:val="0"/>
        <w:widowControl w:val="0"/>
        <w:kinsoku/>
        <w:wordWrap/>
        <w:overflowPunct/>
        <w:topLinePunct w:val="0"/>
        <w:autoSpaceDE/>
        <w:autoSpaceDN/>
        <w:bidi w:val="0"/>
        <w:spacing w:line="360" w:lineRule="auto"/>
        <w:jc w:val="both"/>
        <w:textAlignment w:val="auto"/>
        <w:outlineLvl w:val="9"/>
        <w:rPr>
          <w:rFonts w:hint="eastAsia"/>
          <w:color w:val="auto"/>
          <w:sz w:val="32"/>
          <w:szCs w:val="32"/>
          <w:highlight w:val="none"/>
          <w:lang w:val="en-US" w:eastAsia="zh-CN"/>
        </w:rPr>
      </w:pPr>
      <w:r>
        <w:rPr>
          <w:rFonts w:hint="eastAsia" w:ascii="黑体" w:eastAsia="黑体" w:cs="宋体" w:hAnsiTheme="minorHAnsi"/>
          <w:color w:val="auto"/>
          <w:sz w:val="32"/>
          <w:szCs w:val="32"/>
          <w:highlight w:val="none"/>
          <w:lang w:val="en-US" w:eastAsia="zh-CN"/>
        </w:rPr>
        <w:t xml:space="preserve">第四十条 </w:t>
      </w:r>
      <w:r>
        <w:rPr>
          <w:rFonts w:hint="eastAsia" w:ascii="仿宋_GB2312" w:eastAsia="仿宋_GB2312" w:cs="宋体" w:hAnsiTheme="minorHAnsi"/>
          <w:color w:val="auto"/>
          <w:sz w:val="32"/>
          <w:szCs w:val="32"/>
          <w:highlight w:val="none"/>
          <w:lang w:val="en-US" w:eastAsia="zh-CN"/>
        </w:rPr>
        <w:t>本办法自2025年3月1日起施行。</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Lantinghei SC">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672191"/>
      <w:docPartObj>
        <w:docPartGallery w:val="autotext"/>
      </w:docPartObj>
    </w:sdtPr>
    <w:sdtContent>
      <w:p w14:paraId="68A837A3">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14:paraId="5EDCD35F">
    <w:pPr>
      <w:pStyle w:val="6"/>
      <w:tabs>
        <w:tab w:val="left" w:pos="3219"/>
        <w:tab w:val="clear" w:pos="4153"/>
      </w:tabs>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A062F">
    <w:pPr>
      <w:pStyle w:val="7"/>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2YTZiMzI4ZWJlY2MxNzdiZDMwZGFkMTlmMDMyYTAifQ=="/>
  </w:docVars>
  <w:rsids>
    <w:rsidRoot w:val="006B7CB5"/>
    <w:rsid w:val="000139D4"/>
    <w:rsid w:val="00056DDC"/>
    <w:rsid w:val="0006130A"/>
    <w:rsid w:val="000615B2"/>
    <w:rsid w:val="00064016"/>
    <w:rsid w:val="000663A8"/>
    <w:rsid w:val="00066F62"/>
    <w:rsid w:val="00093E48"/>
    <w:rsid w:val="000A463D"/>
    <w:rsid w:val="000B3443"/>
    <w:rsid w:val="000B38AC"/>
    <w:rsid w:val="000B66D1"/>
    <w:rsid w:val="000F7759"/>
    <w:rsid w:val="00102FD0"/>
    <w:rsid w:val="00117D01"/>
    <w:rsid w:val="00124E1D"/>
    <w:rsid w:val="001351EC"/>
    <w:rsid w:val="00146D2D"/>
    <w:rsid w:val="001616AB"/>
    <w:rsid w:val="00176590"/>
    <w:rsid w:val="001A4368"/>
    <w:rsid w:val="001A4A43"/>
    <w:rsid w:val="001A5019"/>
    <w:rsid w:val="001A6044"/>
    <w:rsid w:val="001B56C8"/>
    <w:rsid w:val="001C0AC3"/>
    <w:rsid w:val="00203686"/>
    <w:rsid w:val="002224D6"/>
    <w:rsid w:val="00230142"/>
    <w:rsid w:val="00231F4A"/>
    <w:rsid w:val="00234D31"/>
    <w:rsid w:val="002665C4"/>
    <w:rsid w:val="002A7626"/>
    <w:rsid w:val="002B4AF8"/>
    <w:rsid w:val="002B6A51"/>
    <w:rsid w:val="002B6C5E"/>
    <w:rsid w:val="002C0CE7"/>
    <w:rsid w:val="002D4E6D"/>
    <w:rsid w:val="002E260E"/>
    <w:rsid w:val="002E342B"/>
    <w:rsid w:val="002E4422"/>
    <w:rsid w:val="002F05CE"/>
    <w:rsid w:val="002F533E"/>
    <w:rsid w:val="0030073F"/>
    <w:rsid w:val="003069A7"/>
    <w:rsid w:val="00307DA6"/>
    <w:rsid w:val="003118DE"/>
    <w:rsid w:val="00317E31"/>
    <w:rsid w:val="003431C3"/>
    <w:rsid w:val="003510DF"/>
    <w:rsid w:val="00373CB8"/>
    <w:rsid w:val="003807BD"/>
    <w:rsid w:val="003931FA"/>
    <w:rsid w:val="003963FB"/>
    <w:rsid w:val="003A1E95"/>
    <w:rsid w:val="003C1F8F"/>
    <w:rsid w:val="003E0009"/>
    <w:rsid w:val="003E0B07"/>
    <w:rsid w:val="003F4F89"/>
    <w:rsid w:val="00406B1D"/>
    <w:rsid w:val="004123C4"/>
    <w:rsid w:val="00416E56"/>
    <w:rsid w:val="0043566A"/>
    <w:rsid w:val="00442884"/>
    <w:rsid w:val="00451FE9"/>
    <w:rsid w:val="004603B9"/>
    <w:rsid w:val="00484990"/>
    <w:rsid w:val="004865A4"/>
    <w:rsid w:val="00491BE1"/>
    <w:rsid w:val="00495426"/>
    <w:rsid w:val="00496111"/>
    <w:rsid w:val="004975E5"/>
    <w:rsid w:val="004A10A0"/>
    <w:rsid w:val="004D75C3"/>
    <w:rsid w:val="004E7580"/>
    <w:rsid w:val="004F1691"/>
    <w:rsid w:val="004F2ACC"/>
    <w:rsid w:val="00500138"/>
    <w:rsid w:val="005433D7"/>
    <w:rsid w:val="0054668B"/>
    <w:rsid w:val="00550C50"/>
    <w:rsid w:val="0056111F"/>
    <w:rsid w:val="005613F9"/>
    <w:rsid w:val="005855F4"/>
    <w:rsid w:val="00590E75"/>
    <w:rsid w:val="005C469D"/>
    <w:rsid w:val="005C552D"/>
    <w:rsid w:val="005C5AC9"/>
    <w:rsid w:val="005E0B59"/>
    <w:rsid w:val="005E7FFD"/>
    <w:rsid w:val="006117A8"/>
    <w:rsid w:val="006242A3"/>
    <w:rsid w:val="00627F82"/>
    <w:rsid w:val="0064782F"/>
    <w:rsid w:val="006565B3"/>
    <w:rsid w:val="00673BD3"/>
    <w:rsid w:val="00690349"/>
    <w:rsid w:val="006A05C8"/>
    <w:rsid w:val="006B0840"/>
    <w:rsid w:val="006B6BA2"/>
    <w:rsid w:val="006B7CB5"/>
    <w:rsid w:val="006E4024"/>
    <w:rsid w:val="006E7560"/>
    <w:rsid w:val="00710C73"/>
    <w:rsid w:val="00714573"/>
    <w:rsid w:val="007213C1"/>
    <w:rsid w:val="007244C3"/>
    <w:rsid w:val="00740F18"/>
    <w:rsid w:val="00741DD9"/>
    <w:rsid w:val="007665F2"/>
    <w:rsid w:val="007756C3"/>
    <w:rsid w:val="00777A17"/>
    <w:rsid w:val="00781C58"/>
    <w:rsid w:val="00782FA4"/>
    <w:rsid w:val="007A22F2"/>
    <w:rsid w:val="007A4581"/>
    <w:rsid w:val="007C1A9F"/>
    <w:rsid w:val="007C1F5B"/>
    <w:rsid w:val="007D0B01"/>
    <w:rsid w:val="007F41C4"/>
    <w:rsid w:val="00814C4A"/>
    <w:rsid w:val="00814F15"/>
    <w:rsid w:val="008153FD"/>
    <w:rsid w:val="0083275F"/>
    <w:rsid w:val="00855048"/>
    <w:rsid w:val="00866D87"/>
    <w:rsid w:val="008762C0"/>
    <w:rsid w:val="008770AA"/>
    <w:rsid w:val="00893F48"/>
    <w:rsid w:val="008A151D"/>
    <w:rsid w:val="008A7EDC"/>
    <w:rsid w:val="008B2137"/>
    <w:rsid w:val="008B4ED2"/>
    <w:rsid w:val="008C0ECF"/>
    <w:rsid w:val="008C3CC3"/>
    <w:rsid w:val="008D1DF8"/>
    <w:rsid w:val="008D3086"/>
    <w:rsid w:val="008E7478"/>
    <w:rsid w:val="00906786"/>
    <w:rsid w:val="009168AB"/>
    <w:rsid w:val="00920521"/>
    <w:rsid w:val="009261E2"/>
    <w:rsid w:val="00977AB6"/>
    <w:rsid w:val="00986F55"/>
    <w:rsid w:val="009872E6"/>
    <w:rsid w:val="009A1233"/>
    <w:rsid w:val="009B1351"/>
    <w:rsid w:val="009B2E0C"/>
    <w:rsid w:val="009B4EDB"/>
    <w:rsid w:val="009B56FE"/>
    <w:rsid w:val="009D7E95"/>
    <w:rsid w:val="009E15A9"/>
    <w:rsid w:val="009E3299"/>
    <w:rsid w:val="00A15E7C"/>
    <w:rsid w:val="00A405BC"/>
    <w:rsid w:val="00A55503"/>
    <w:rsid w:val="00A604E7"/>
    <w:rsid w:val="00A64A63"/>
    <w:rsid w:val="00A66611"/>
    <w:rsid w:val="00A83451"/>
    <w:rsid w:val="00A83D48"/>
    <w:rsid w:val="00AD504F"/>
    <w:rsid w:val="00AE59BC"/>
    <w:rsid w:val="00B060AA"/>
    <w:rsid w:val="00B17EB9"/>
    <w:rsid w:val="00B3131E"/>
    <w:rsid w:val="00B32247"/>
    <w:rsid w:val="00B34DE8"/>
    <w:rsid w:val="00B43B2D"/>
    <w:rsid w:val="00B7680B"/>
    <w:rsid w:val="00B81573"/>
    <w:rsid w:val="00BA414F"/>
    <w:rsid w:val="00BB2646"/>
    <w:rsid w:val="00BC0A94"/>
    <w:rsid w:val="00BD5F43"/>
    <w:rsid w:val="00C04579"/>
    <w:rsid w:val="00C313CE"/>
    <w:rsid w:val="00C36E43"/>
    <w:rsid w:val="00C43CE8"/>
    <w:rsid w:val="00C445A9"/>
    <w:rsid w:val="00C52607"/>
    <w:rsid w:val="00C65897"/>
    <w:rsid w:val="00C7797C"/>
    <w:rsid w:val="00C87953"/>
    <w:rsid w:val="00CA3406"/>
    <w:rsid w:val="00CB06CE"/>
    <w:rsid w:val="00CB59A6"/>
    <w:rsid w:val="00CC44B1"/>
    <w:rsid w:val="00D25816"/>
    <w:rsid w:val="00D27651"/>
    <w:rsid w:val="00D50CA3"/>
    <w:rsid w:val="00D662B3"/>
    <w:rsid w:val="00D710F9"/>
    <w:rsid w:val="00D9282F"/>
    <w:rsid w:val="00D949CE"/>
    <w:rsid w:val="00D97CC0"/>
    <w:rsid w:val="00DD0EFD"/>
    <w:rsid w:val="00DD63CE"/>
    <w:rsid w:val="00DE4BBC"/>
    <w:rsid w:val="00DF2D4B"/>
    <w:rsid w:val="00DF5869"/>
    <w:rsid w:val="00E00C94"/>
    <w:rsid w:val="00E27C39"/>
    <w:rsid w:val="00E43448"/>
    <w:rsid w:val="00E441C2"/>
    <w:rsid w:val="00E4646F"/>
    <w:rsid w:val="00E47943"/>
    <w:rsid w:val="00E53C18"/>
    <w:rsid w:val="00E5419F"/>
    <w:rsid w:val="00E545A4"/>
    <w:rsid w:val="00E610D3"/>
    <w:rsid w:val="00E725E0"/>
    <w:rsid w:val="00E92C09"/>
    <w:rsid w:val="00EA26E9"/>
    <w:rsid w:val="00EC7F93"/>
    <w:rsid w:val="00ED08AD"/>
    <w:rsid w:val="00ED738B"/>
    <w:rsid w:val="00EE12A5"/>
    <w:rsid w:val="00EF2C52"/>
    <w:rsid w:val="00F016A4"/>
    <w:rsid w:val="00F26551"/>
    <w:rsid w:val="00F4152B"/>
    <w:rsid w:val="00F53B3B"/>
    <w:rsid w:val="00F553C0"/>
    <w:rsid w:val="00F61563"/>
    <w:rsid w:val="00F7060B"/>
    <w:rsid w:val="00F71A2E"/>
    <w:rsid w:val="00F81EE0"/>
    <w:rsid w:val="00FA37AE"/>
    <w:rsid w:val="00FA729B"/>
    <w:rsid w:val="00FE3C38"/>
    <w:rsid w:val="00FF3EA2"/>
    <w:rsid w:val="01141BEA"/>
    <w:rsid w:val="01186083"/>
    <w:rsid w:val="015974C0"/>
    <w:rsid w:val="01B931E4"/>
    <w:rsid w:val="01C23936"/>
    <w:rsid w:val="02057871"/>
    <w:rsid w:val="020A36B8"/>
    <w:rsid w:val="02352A90"/>
    <w:rsid w:val="023B5157"/>
    <w:rsid w:val="02C153E5"/>
    <w:rsid w:val="02CD07FF"/>
    <w:rsid w:val="02CE202C"/>
    <w:rsid w:val="033937D0"/>
    <w:rsid w:val="035D3297"/>
    <w:rsid w:val="036E771B"/>
    <w:rsid w:val="039667A9"/>
    <w:rsid w:val="03C672EC"/>
    <w:rsid w:val="03FF2AD1"/>
    <w:rsid w:val="043164D2"/>
    <w:rsid w:val="04602913"/>
    <w:rsid w:val="0461266D"/>
    <w:rsid w:val="04D76727"/>
    <w:rsid w:val="04FC44C5"/>
    <w:rsid w:val="05F17CC7"/>
    <w:rsid w:val="063630D6"/>
    <w:rsid w:val="06417592"/>
    <w:rsid w:val="06536286"/>
    <w:rsid w:val="066761DB"/>
    <w:rsid w:val="06B70CE4"/>
    <w:rsid w:val="06E33EC7"/>
    <w:rsid w:val="078A602D"/>
    <w:rsid w:val="07B61B72"/>
    <w:rsid w:val="07E5640F"/>
    <w:rsid w:val="081B29E3"/>
    <w:rsid w:val="08A33ABE"/>
    <w:rsid w:val="08C8335F"/>
    <w:rsid w:val="08F86177"/>
    <w:rsid w:val="09157AFB"/>
    <w:rsid w:val="095F2C44"/>
    <w:rsid w:val="0983332C"/>
    <w:rsid w:val="09FB7366"/>
    <w:rsid w:val="0A3356C5"/>
    <w:rsid w:val="0A4F3BA6"/>
    <w:rsid w:val="0B1A53E7"/>
    <w:rsid w:val="0B927A34"/>
    <w:rsid w:val="0BEC0FCE"/>
    <w:rsid w:val="0BED636B"/>
    <w:rsid w:val="0C3B25B0"/>
    <w:rsid w:val="0C74482A"/>
    <w:rsid w:val="0CC25B75"/>
    <w:rsid w:val="0CD62934"/>
    <w:rsid w:val="0E460D89"/>
    <w:rsid w:val="0E5C2035"/>
    <w:rsid w:val="0E81714A"/>
    <w:rsid w:val="0E8C2C83"/>
    <w:rsid w:val="0EB15742"/>
    <w:rsid w:val="0ED2274F"/>
    <w:rsid w:val="0EDA2670"/>
    <w:rsid w:val="106763DF"/>
    <w:rsid w:val="1072717D"/>
    <w:rsid w:val="10CA1840"/>
    <w:rsid w:val="111676F8"/>
    <w:rsid w:val="118F3A89"/>
    <w:rsid w:val="12394ECF"/>
    <w:rsid w:val="12861DBC"/>
    <w:rsid w:val="12F9640D"/>
    <w:rsid w:val="13390ABB"/>
    <w:rsid w:val="13B439FD"/>
    <w:rsid w:val="13D94EC1"/>
    <w:rsid w:val="145B63E8"/>
    <w:rsid w:val="14B1053D"/>
    <w:rsid w:val="14E60C13"/>
    <w:rsid w:val="14F7697C"/>
    <w:rsid w:val="14F86447"/>
    <w:rsid w:val="14FD7C87"/>
    <w:rsid w:val="15CA22E2"/>
    <w:rsid w:val="15DC2BB3"/>
    <w:rsid w:val="168601F0"/>
    <w:rsid w:val="16FD5414"/>
    <w:rsid w:val="175A763F"/>
    <w:rsid w:val="179D6056"/>
    <w:rsid w:val="182E649D"/>
    <w:rsid w:val="191306DF"/>
    <w:rsid w:val="192D2A5D"/>
    <w:rsid w:val="19801636"/>
    <w:rsid w:val="199C67DD"/>
    <w:rsid w:val="19A03324"/>
    <w:rsid w:val="19DD3E77"/>
    <w:rsid w:val="1A2067E1"/>
    <w:rsid w:val="1A227B35"/>
    <w:rsid w:val="1AEF5DBD"/>
    <w:rsid w:val="1B0911B7"/>
    <w:rsid w:val="1B19589E"/>
    <w:rsid w:val="1B26620D"/>
    <w:rsid w:val="1B687AEF"/>
    <w:rsid w:val="1B957BB4"/>
    <w:rsid w:val="1C0F6CA1"/>
    <w:rsid w:val="1D367782"/>
    <w:rsid w:val="1D8669FF"/>
    <w:rsid w:val="1DFC3B45"/>
    <w:rsid w:val="1E0918C0"/>
    <w:rsid w:val="1E4D4E24"/>
    <w:rsid w:val="1E572624"/>
    <w:rsid w:val="1ED36E82"/>
    <w:rsid w:val="1F3053B8"/>
    <w:rsid w:val="1F8359DC"/>
    <w:rsid w:val="1FEF3922"/>
    <w:rsid w:val="207A3B90"/>
    <w:rsid w:val="207F2647"/>
    <w:rsid w:val="209A486B"/>
    <w:rsid w:val="20B1603C"/>
    <w:rsid w:val="20FD555F"/>
    <w:rsid w:val="21130FE1"/>
    <w:rsid w:val="215B72F2"/>
    <w:rsid w:val="217D067D"/>
    <w:rsid w:val="21C7170C"/>
    <w:rsid w:val="21D4251F"/>
    <w:rsid w:val="222D38C9"/>
    <w:rsid w:val="22813D29"/>
    <w:rsid w:val="228850B7"/>
    <w:rsid w:val="22A46C97"/>
    <w:rsid w:val="23586C07"/>
    <w:rsid w:val="235B60B3"/>
    <w:rsid w:val="23974F97"/>
    <w:rsid w:val="23A979DB"/>
    <w:rsid w:val="23CE2F9E"/>
    <w:rsid w:val="23F702A0"/>
    <w:rsid w:val="240C3129"/>
    <w:rsid w:val="24201387"/>
    <w:rsid w:val="24875A24"/>
    <w:rsid w:val="24B16B47"/>
    <w:rsid w:val="255708B7"/>
    <w:rsid w:val="256517BD"/>
    <w:rsid w:val="25D02745"/>
    <w:rsid w:val="25E1345C"/>
    <w:rsid w:val="266504F6"/>
    <w:rsid w:val="268F115B"/>
    <w:rsid w:val="26C651BD"/>
    <w:rsid w:val="270956E3"/>
    <w:rsid w:val="274C6FFB"/>
    <w:rsid w:val="27B2154C"/>
    <w:rsid w:val="27C750CD"/>
    <w:rsid w:val="27F72910"/>
    <w:rsid w:val="27FD412F"/>
    <w:rsid w:val="28243AD4"/>
    <w:rsid w:val="284275D7"/>
    <w:rsid w:val="28956780"/>
    <w:rsid w:val="29226F65"/>
    <w:rsid w:val="294921DF"/>
    <w:rsid w:val="29B76E89"/>
    <w:rsid w:val="2A110D2B"/>
    <w:rsid w:val="2A4B1CFB"/>
    <w:rsid w:val="2A8820F8"/>
    <w:rsid w:val="2A8F0F30"/>
    <w:rsid w:val="2AB404C3"/>
    <w:rsid w:val="2AFE7854"/>
    <w:rsid w:val="2B205886"/>
    <w:rsid w:val="2B2F0C2E"/>
    <w:rsid w:val="2B467793"/>
    <w:rsid w:val="2B9E76FA"/>
    <w:rsid w:val="2BA67C4E"/>
    <w:rsid w:val="2BF437BD"/>
    <w:rsid w:val="2C0E0961"/>
    <w:rsid w:val="2C251BC9"/>
    <w:rsid w:val="2C440E11"/>
    <w:rsid w:val="2CD45AC9"/>
    <w:rsid w:val="2D222D39"/>
    <w:rsid w:val="2D2A09B7"/>
    <w:rsid w:val="2D4A40A9"/>
    <w:rsid w:val="2D641487"/>
    <w:rsid w:val="2DD26158"/>
    <w:rsid w:val="2DFB508B"/>
    <w:rsid w:val="2E5121F0"/>
    <w:rsid w:val="2E5879D2"/>
    <w:rsid w:val="2EC01BAE"/>
    <w:rsid w:val="2ECA0DA1"/>
    <w:rsid w:val="2ECD5689"/>
    <w:rsid w:val="2F1B150E"/>
    <w:rsid w:val="2F8161F0"/>
    <w:rsid w:val="2FE14ECA"/>
    <w:rsid w:val="2FE94964"/>
    <w:rsid w:val="30234D88"/>
    <w:rsid w:val="305D537C"/>
    <w:rsid w:val="307F7AFA"/>
    <w:rsid w:val="30982EC0"/>
    <w:rsid w:val="30BF439A"/>
    <w:rsid w:val="30D97FFB"/>
    <w:rsid w:val="310811F3"/>
    <w:rsid w:val="316C6E1D"/>
    <w:rsid w:val="318904D2"/>
    <w:rsid w:val="3196418C"/>
    <w:rsid w:val="32022CFB"/>
    <w:rsid w:val="32981438"/>
    <w:rsid w:val="337B4704"/>
    <w:rsid w:val="33F65200"/>
    <w:rsid w:val="34871673"/>
    <w:rsid w:val="351D553B"/>
    <w:rsid w:val="3527208B"/>
    <w:rsid w:val="35C97A69"/>
    <w:rsid w:val="364D190D"/>
    <w:rsid w:val="36935F18"/>
    <w:rsid w:val="37863AD9"/>
    <w:rsid w:val="37D103F8"/>
    <w:rsid w:val="381E5E4A"/>
    <w:rsid w:val="38404012"/>
    <w:rsid w:val="384B0C09"/>
    <w:rsid w:val="38875604"/>
    <w:rsid w:val="38915B24"/>
    <w:rsid w:val="38AF1198"/>
    <w:rsid w:val="38B52415"/>
    <w:rsid w:val="38D874FA"/>
    <w:rsid w:val="3982182C"/>
    <w:rsid w:val="39A16A51"/>
    <w:rsid w:val="3A141A86"/>
    <w:rsid w:val="3ABB3E24"/>
    <w:rsid w:val="3AD35CFB"/>
    <w:rsid w:val="3BE02266"/>
    <w:rsid w:val="3C2B3679"/>
    <w:rsid w:val="3C335C3C"/>
    <w:rsid w:val="3CB11586"/>
    <w:rsid w:val="3D0228C2"/>
    <w:rsid w:val="3D4F6AA6"/>
    <w:rsid w:val="3D7F112F"/>
    <w:rsid w:val="3DC24430"/>
    <w:rsid w:val="3DD31485"/>
    <w:rsid w:val="3E9338AD"/>
    <w:rsid w:val="3ECC7B2A"/>
    <w:rsid w:val="3F1938FD"/>
    <w:rsid w:val="3F285C7B"/>
    <w:rsid w:val="3F853FC5"/>
    <w:rsid w:val="3FB6124F"/>
    <w:rsid w:val="3FF102E8"/>
    <w:rsid w:val="3FFC8AC2"/>
    <w:rsid w:val="400324FA"/>
    <w:rsid w:val="403E177F"/>
    <w:rsid w:val="403F2E41"/>
    <w:rsid w:val="40477F08"/>
    <w:rsid w:val="405575E4"/>
    <w:rsid w:val="40972C3D"/>
    <w:rsid w:val="40DE11BB"/>
    <w:rsid w:val="411B535A"/>
    <w:rsid w:val="41532E90"/>
    <w:rsid w:val="41636E91"/>
    <w:rsid w:val="41D44D06"/>
    <w:rsid w:val="41FE06F6"/>
    <w:rsid w:val="42703746"/>
    <w:rsid w:val="42E12896"/>
    <w:rsid w:val="435323F9"/>
    <w:rsid w:val="43C15F14"/>
    <w:rsid w:val="44476507"/>
    <w:rsid w:val="44621ED4"/>
    <w:rsid w:val="447A02DD"/>
    <w:rsid w:val="44B32010"/>
    <w:rsid w:val="44CE29A6"/>
    <w:rsid w:val="452137A8"/>
    <w:rsid w:val="452803B1"/>
    <w:rsid w:val="452A4C38"/>
    <w:rsid w:val="45476BAC"/>
    <w:rsid w:val="457A4066"/>
    <w:rsid w:val="45AF27D7"/>
    <w:rsid w:val="45C51DD7"/>
    <w:rsid w:val="45F572A7"/>
    <w:rsid w:val="466D3EEF"/>
    <w:rsid w:val="46CB6513"/>
    <w:rsid w:val="46CB74E1"/>
    <w:rsid w:val="473E2065"/>
    <w:rsid w:val="4799373F"/>
    <w:rsid w:val="47A17442"/>
    <w:rsid w:val="486D499A"/>
    <w:rsid w:val="488C2ACF"/>
    <w:rsid w:val="48B14210"/>
    <w:rsid w:val="492C4DD3"/>
    <w:rsid w:val="49523BA5"/>
    <w:rsid w:val="49F2611A"/>
    <w:rsid w:val="4A136DEA"/>
    <w:rsid w:val="4A4C2F78"/>
    <w:rsid w:val="4A6E7E54"/>
    <w:rsid w:val="4A885951"/>
    <w:rsid w:val="4AFC5FF0"/>
    <w:rsid w:val="4BC70D12"/>
    <w:rsid w:val="4BE33AAF"/>
    <w:rsid w:val="4C2A0523"/>
    <w:rsid w:val="4C342367"/>
    <w:rsid w:val="4C7E1155"/>
    <w:rsid w:val="4CC4707B"/>
    <w:rsid w:val="4CFA6A2E"/>
    <w:rsid w:val="4D484218"/>
    <w:rsid w:val="4DFB72D3"/>
    <w:rsid w:val="4E7D7917"/>
    <w:rsid w:val="4E9904C8"/>
    <w:rsid w:val="4EE724C9"/>
    <w:rsid w:val="4EFB766D"/>
    <w:rsid w:val="4F174E94"/>
    <w:rsid w:val="4F9C0909"/>
    <w:rsid w:val="4FEC1592"/>
    <w:rsid w:val="4FFE4415"/>
    <w:rsid w:val="502133E6"/>
    <w:rsid w:val="50A54E70"/>
    <w:rsid w:val="511B51C5"/>
    <w:rsid w:val="51247744"/>
    <w:rsid w:val="51601795"/>
    <w:rsid w:val="51695F30"/>
    <w:rsid w:val="52344790"/>
    <w:rsid w:val="52626655"/>
    <w:rsid w:val="52AF2069"/>
    <w:rsid w:val="52E41FE4"/>
    <w:rsid w:val="534F0AA1"/>
    <w:rsid w:val="5358790F"/>
    <w:rsid w:val="537F49DC"/>
    <w:rsid w:val="5385101B"/>
    <w:rsid w:val="53BD4752"/>
    <w:rsid w:val="53F008AC"/>
    <w:rsid w:val="53F654B5"/>
    <w:rsid w:val="53FE09DA"/>
    <w:rsid w:val="54040255"/>
    <w:rsid w:val="544D23DA"/>
    <w:rsid w:val="546261C4"/>
    <w:rsid w:val="55640DD4"/>
    <w:rsid w:val="557E32D8"/>
    <w:rsid w:val="566A5AC3"/>
    <w:rsid w:val="567A298E"/>
    <w:rsid w:val="567B14E9"/>
    <w:rsid w:val="567B2BB0"/>
    <w:rsid w:val="56E30533"/>
    <w:rsid w:val="576F31E1"/>
    <w:rsid w:val="577B6E62"/>
    <w:rsid w:val="57A85717"/>
    <w:rsid w:val="58FE6EBD"/>
    <w:rsid w:val="59030A18"/>
    <w:rsid w:val="590972A1"/>
    <w:rsid w:val="59360C80"/>
    <w:rsid w:val="59543693"/>
    <w:rsid w:val="59EE791A"/>
    <w:rsid w:val="59FF3F68"/>
    <w:rsid w:val="5A586F9B"/>
    <w:rsid w:val="5A957D96"/>
    <w:rsid w:val="5AA13016"/>
    <w:rsid w:val="5AB13E50"/>
    <w:rsid w:val="5ABF4E13"/>
    <w:rsid w:val="5AC73695"/>
    <w:rsid w:val="5BD75AB2"/>
    <w:rsid w:val="5C3C25D8"/>
    <w:rsid w:val="5CA41381"/>
    <w:rsid w:val="5CF16EB8"/>
    <w:rsid w:val="5DDB295F"/>
    <w:rsid w:val="5E485B26"/>
    <w:rsid w:val="5E4C583C"/>
    <w:rsid w:val="5E506FD9"/>
    <w:rsid w:val="5F6062E7"/>
    <w:rsid w:val="5F7969AB"/>
    <w:rsid w:val="60492912"/>
    <w:rsid w:val="60507AC5"/>
    <w:rsid w:val="60766B4D"/>
    <w:rsid w:val="61314591"/>
    <w:rsid w:val="61A94127"/>
    <w:rsid w:val="61B16AD7"/>
    <w:rsid w:val="61B825BC"/>
    <w:rsid w:val="626D272B"/>
    <w:rsid w:val="628D1D46"/>
    <w:rsid w:val="62AC5365"/>
    <w:rsid w:val="62CA0374"/>
    <w:rsid w:val="631B1054"/>
    <w:rsid w:val="637F3940"/>
    <w:rsid w:val="643F0FAD"/>
    <w:rsid w:val="644E7F5C"/>
    <w:rsid w:val="646F78AA"/>
    <w:rsid w:val="64DC3505"/>
    <w:rsid w:val="65516FAF"/>
    <w:rsid w:val="65913850"/>
    <w:rsid w:val="663B4A5C"/>
    <w:rsid w:val="66BC09E3"/>
    <w:rsid w:val="67057B51"/>
    <w:rsid w:val="670C5884"/>
    <w:rsid w:val="67705E13"/>
    <w:rsid w:val="6784366C"/>
    <w:rsid w:val="679B26EF"/>
    <w:rsid w:val="67A357B5"/>
    <w:rsid w:val="67BB7C20"/>
    <w:rsid w:val="67DA14DE"/>
    <w:rsid w:val="685177E2"/>
    <w:rsid w:val="68902444"/>
    <w:rsid w:val="68E81BF5"/>
    <w:rsid w:val="699D27C3"/>
    <w:rsid w:val="69CC46F8"/>
    <w:rsid w:val="6A684FA8"/>
    <w:rsid w:val="6A954F80"/>
    <w:rsid w:val="6AB778B5"/>
    <w:rsid w:val="6ADF3397"/>
    <w:rsid w:val="6AFB6BAE"/>
    <w:rsid w:val="6B5477F9"/>
    <w:rsid w:val="6BF40694"/>
    <w:rsid w:val="6C090826"/>
    <w:rsid w:val="6C5C4BB7"/>
    <w:rsid w:val="6C8E42AB"/>
    <w:rsid w:val="6DD4629B"/>
    <w:rsid w:val="6E251CF8"/>
    <w:rsid w:val="6E2C4FB8"/>
    <w:rsid w:val="6E8A0851"/>
    <w:rsid w:val="6EC27039"/>
    <w:rsid w:val="6F07236B"/>
    <w:rsid w:val="6F406167"/>
    <w:rsid w:val="6FB64DA1"/>
    <w:rsid w:val="70557365"/>
    <w:rsid w:val="70D132D8"/>
    <w:rsid w:val="71035FB5"/>
    <w:rsid w:val="711163E6"/>
    <w:rsid w:val="711A34A8"/>
    <w:rsid w:val="71207341"/>
    <w:rsid w:val="718664C8"/>
    <w:rsid w:val="71CE3579"/>
    <w:rsid w:val="7206380E"/>
    <w:rsid w:val="72217A98"/>
    <w:rsid w:val="72975FE7"/>
    <w:rsid w:val="72AE6171"/>
    <w:rsid w:val="72C47013"/>
    <w:rsid w:val="736E0425"/>
    <w:rsid w:val="73774700"/>
    <w:rsid w:val="73900606"/>
    <w:rsid w:val="73C02577"/>
    <w:rsid w:val="74B11819"/>
    <w:rsid w:val="74FD0D8D"/>
    <w:rsid w:val="75857C4B"/>
    <w:rsid w:val="758A0170"/>
    <w:rsid w:val="75F220E9"/>
    <w:rsid w:val="762107BE"/>
    <w:rsid w:val="767E3FCC"/>
    <w:rsid w:val="76AA29C3"/>
    <w:rsid w:val="76BD25FF"/>
    <w:rsid w:val="76FD33E8"/>
    <w:rsid w:val="7727192E"/>
    <w:rsid w:val="77692418"/>
    <w:rsid w:val="77981847"/>
    <w:rsid w:val="77B72D5D"/>
    <w:rsid w:val="77C95840"/>
    <w:rsid w:val="79147D72"/>
    <w:rsid w:val="79554E68"/>
    <w:rsid w:val="79944ED8"/>
    <w:rsid w:val="79A0479A"/>
    <w:rsid w:val="79F519C0"/>
    <w:rsid w:val="7A4E42C3"/>
    <w:rsid w:val="7AC34EC0"/>
    <w:rsid w:val="7AF64624"/>
    <w:rsid w:val="7B0C7512"/>
    <w:rsid w:val="7B570210"/>
    <w:rsid w:val="7C3101B6"/>
    <w:rsid w:val="7C9A4B08"/>
    <w:rsid w:val="7CC52872"/>
    <w:rsid w:val="7CE91543"/>
    <w:rsid w:val="7CF27F4D"/>
    <w:rsid w:val="7D496A92"/>
    <w:rsid w:val="7D542E1A"/>
    <w:rsid w:val="7DC56D1F"/>
    <w:rsid w:val="7E121CD6"/>
    <w:rsid w:val="7E1648CC"/>
    <w:rsid w:val="7F431F1B"/>
    <w:rsid w:val="7F45772D"/>
    <w:rsid w:val="7F593BD3"/>
    <w:rsid w:val="7FB005C3"/>
    <w:rsid w:val="7FD83478"/>
    <w:rsid w:val="7FF6731A"/>
    <w:rsid w:val="BFF50CBA"/>
    <w:rsid w:val="DF5F070D"/>
    <w:rsid w:val="EBEF5803"/>
    <w:rsid w:val="EFEF0F12"/>
    <w:rsid w:val="F8C7805C"/>
    <w:rsid w:val="FABFF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4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qFormat/>
    <w:uiPriority w:val="9"/>
    <w:pPr>
      <w:keepNext/>
      <w:keepLines/>
      <w:spacing w:line="1200" w:lineRule="auto"/>
      <w:ind w:firstLine="0" w:firstLineChars="0"/>
      <w:jc w:val="center"/>
      <w:outlineLvl w:val="0"/>
    </w:pPr>
    <w:rPr>
      <w:b/>
      <w:kern w:val="44"/>
      <w:sz w:val="44"/>
    </w:rPr>
  </w:style>
  <w:style w:type="paragraph" w:styleId="3">
    <w:name w:val="heading 2"/>
    <w:basedOn w:val="1"/>
    <w:next w:val="1"/>
    <w:link w:val="18"/>
    <w:unhideWhenUsed/>
    <w:qFormat/>
    <w:uiPriority w:val="9"/>
    <w:pPr>
      <w:keepLines/>
      <w:spacing w:line="360" w:lineRule="auto"/>
      <w:ind w:firstLine="0" w:firstLineChars="0"/>
      <w:jc w:val="center"/>
      <w:outlineLvl w:val="1"/>
    </w:pPr>
    <w:rPr>
      <w:rFonts w:asciiTheme="majorAscii" w:hAnsiTheme="majorAscii"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semiHidden/>
    <w:unhideWhenUsed/>
    <w:qFormat/>
    <w:uiPriority w:val="99"/>
    <w:pPr>
      <w:spacing w:line="240" w:lineRule="auto"/>
      <w:ind w:firstLine="0" w:firstLineChars="0"/>
      <w:jc w:val="left"/>
    </w:pPr>
    <w:rPr>
      <w:rFonts w:asciiTheme="minorHAnsi" w:hAnsiTheme="minorHAnsi" w:eastAsiaTheme="minorEastAsia"/>
      <w:sz w:val="21"/>
    </w:rPr>
  </w:style>
  <w:style w:type="paragraph" w:styleId="5">
    <w:name w:val="Body Text"/>
    <w:basedOn w:val="1"/>
    <w:qFormat/>
    <w:uiPriority w:val="1"/>
    <w:pPr>
      <w:autoSpaceDE w:val="0"/>
      <w:autoSpaceDN w:val="0"/>
      <w:adjustRightInd w:val="0"/>
      <w:jc w:val="left"/>
    </w:pPr>
    <w:rPr>
      <w:rFonts w:ascii="Lantinghei SC" w:hAnsi="Times New Roman" w:eastAsia="Lantinghei SC" w:cs="Lantinghei SC"/>
      <w:kern w:val="0"/>
      <w:sz w:val="32"/>
      <w:szCs w:val="32"/>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Cs w:val="24"/>
    </w:rPr>
  </w:style>
  <w:style w:type="paragraph" w:styleId="9">
    <w:name w:val="annotation subject"/>
    <w:basedOn w:val="4"/>
    <w:next w:val="4"/>
    <w:link w:val="20"/>
    <w:semiHidden/>
    <w:unhideWhenUsed/>
    <w:qFormat/>
    <w:uiPriority w:val="99"/>
    <w:pPr>
      <w:spacing w:line="360" w:lineRule="auto"/>
      <w:ind w:firstLine="840" w:firstLineChars="200"/>
    </w:pPr>
    <w:rPr>
      <w:rFonts w:ascii="Times New Roman" w:hAnsi="Times New Roman" w:eastAsia="宋体"/>
      <w:b/>
      <w:bCs/>
      <w:sz w:val="24"/>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paragraph" w:customStyle="1" w:styleId="15">
    <w:name w:val="修订1"/>
    <w:hidden/>
    <w:semiHidden/>
    <w:qFormat/>
    <w:uiPriority w:val="99"/>
    <w:rPr>
      <w:rFonts w:ascii="Times New Roman" w:hAnsi="Times New Roman" w:eastAsia="微软雅黑" w:cstheme="minorBidi"/>
      <w:kern w:val="2"/>
      <w:sz w:val="27"/>
      <w:szCs w:val="22"/>
      <w:lang w:val="en-US" w:eastAsia="zh-CN" w:bidi="ar-SA"/>
    </w:rPr>
  </w:style>
  <w:style w:type="character" w:customStyle="1" w:styleId="16">
    <w:name w:val="批注文字 字符"/>
    <w:basedOn w:val="11"/>
    <w:link w:val="4"/>
    <w:semiHidden/>
    <w:qFormat/>
    <w:uiPriority w:val="99"/>
    <w:rPr>
      <w:kern w:val="2"/>
      <w:sz w:val="21"/>
      <w:szCs w:val="22"/>
    </w:rPr>
  </w:style>
  <w:style w:type="paragraph" w:styleId="17">
    <w:name w:val="List Paragraph"/>
    <w:basedOn w:val="1"/>
    <w:qFormat/>
    <w:uiPriority w:val="99"/>
    <w:pPr>
      <w:ind w:firstLine="420"/>
    </w:pPr>
  </w:style>
  <w:style w:type="character" w:customStyle="1" w:styleId="18">
    <w:name w:val="标题 2 字符"/>
    <w:basedOn w:val="11"/>
    <w:link w:val="3"/>
    <w:qFormat/>
    <w:uiPriority w:val="9"/>
    <w:rPr>
      <w:rFonts w:eastAsia="宋体" w:asciiTheme="majorAscii" w:hAnsiTheme="majorAscii" w:cstheme="majorBidi"/>
      <w:b/>
      <w:bCs/>
      <w:kern w:val="2"/>
      <w:sz w:val="32"/>
      <w:szCs w:val="32"/>
    </w:rPr>
  </w:style>
  <w:style w:type="paragraph" w:customStyle="1" w:styleId="19">
    <w:name w:val="Revision"/>
    <w:hidden/>
    <w:semiHidden/>
    <w:qFormat/>
    <w:uiPriority w:val="99"/>
    <w:rPr>
      <w:rFonts w:ascii="Times New Roman" w:hAnsi="Times New Roman" w:eastAsia="宋体" w:cstheme="minorBidi"/>
      <w:kern w:val="2"/>
      <w:sz w:val="24"/>
      <w:szCs w:val="22"/>
      <w:lang w:val="en-US" w:eastAsia="zh-CN" w:bidi="ar-SA"/>
    </w:rPr>
  </w:style>
  <w:style w:type="character" w:customStyle="1" w:styleId="20">
    <w:name w:val="批注主题 字符"/>
    <w:basedOn w:val="16"/>
    <w:link w:val="9"/>
    <w:semiHidden/>
    <w:qFormat/>
    <w:uiPriority w:val="99"/>
    <w:rPr>
      <w:rFonts w:ascii="Times New Roman" w:hAnsi="Times New Roman" w:eastAsia="宋体"/>
      <w:b/>
      <w:bCs/>
      <w:kern w:val="2"/>
      <w:sz w:val="24"/>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正文"/>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4067</Words>
  <Characters>4093</Characters>
  <Lines>62</Lines>
  <Paragraphs>17</Paragraphs>
  <TotalTime>34</TotalTime>
  <ScaleCrop>false</ScaleCrop>
  <LinksUpToDate>false</LinksUpToDate>
  <CharactersWithSpaces>4208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2023-11-18T12:34:00Z</dcterms:created>
  <dc:creator>CHEN SF</dc:creator>
  <cp:lastModifiedBy>批注</cp:lastModifiedBy>
  <cp:lastPrinted>2024-12-06T03:27:00Z</cp:lastPrinted>
  <dcterms:modified xsi:type="dcterms:W3CDTF">2024-12-11T01:51:06Z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F9CF07F6B7C4443EBAE78604E3526F8F_13</vt:lpwstr>
  </property>
</Properties>
</file>