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color w:val="000000" w:themeColor="text1"/>
          <w:sz w:val="32"/>
          <w:szCs w:val="32"/>
        </w:rPr>
      </w:pPr>
      <w:r>
        <w:fldChar w:fldCharType="begin"/>
      </w:r>
      <w:r>
        <w:instrText xml:space="preserve"> HYPERLINK "https://alphalawyer.cn/ilawregu-search/api/v1/lawregu/redict/e5df54a43acb902d6853996b2649c511" </w:instrText>
      </w:r>
      <w:r>
        <w:fldChar w:fldCharType="separate"/>
      </w:r>
      <w:r>
        <w:rPr>
          <w:rFonts w:hint="eastAsia" w:ascii="宋体" w:hAnsi="宋体" w:eastAsia="宋体" w:cs="华文中宋"/>
          <w:b/>
          <w:color w:val="000000" w:themeColor="text1"/>
          <w:sz w:val="32"/>
          <w:szCs w:val="32"/>
        </w:rPr>
        <w:t>中华人民共和</w:t>
      </w:r>
      <w:r>
        <w:rPr>
          <w:rFonts w:hint="eastAsia" w:ascii="宋体" w:hAnsi="宋体" w:eastAsia="宋体" w:cs="思源黑体 CN Bold"/>
          <w:b/>
          <w:color w:val="000000" w:themeColor="text1"/>
          <w:sz w:val="32"/>
          <w:szCs w:val="32"/>
        </w:rPr>
        <w:t>国城乡规划法</w:t>
      </w:r>
      <w:r>
        <w:rPr>
          <w:rFonts w:hint="eastAsia" w:ascii="宋体" w:hAnsi="宋体" w:eastAsia="宋体" w:cs="思源黑体 CN Bold"/>
          <w:b/>
          <w:color w:val="000000" w:themeColor="text1"/>
          <w:sz w:val="32"/>
          <w:szCs w:val="32"/>
        </w:rPr>
        <w:fldChar w:fldCharType="end"/>
      </w:r>
    </w:p>
    <w:p>
      <w:pPr>
        <w:spacing w:beforeLines="0" w:line="360" w:lineRule="exact"/>
        <w:ind w:firstLine="390" w:firstLineChars="150"/>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（2007年10月28日第十届全国人民代表大会常务委员会第三十次会议通过　根据2015年4月24日第十二届全国人民代表大会常务委员会第十四次会议《关于修改〈中华人民共和国港口法〉等七部法律的决定》第一次修正　根据2019年4月23日第十三届全国人民代表大会常务委员会第十次会议《关于修改〈中华人民共和国建筑法〉等八部法律的决定》第二次修正）</w:t>
      </w:r>
    </w:p>
    <w:p>
      <w:pPr>
        <w:pStyle w:val="60"/>
        <w:spacing w:before="423" w:after="423"/>
        <w:rPr>
          <w:color w:val="000000" w:themeColor="text1"/>
          <w:sz w:val="26"/>
          <w:szCs w:val="26"/>
        </w:rPr>
      </w:pPr>
      <w:bookmarkStart w:id="0" w:name="_Toc6BB33E56069CA482D622B8A786EF3E8C"/>
      <w:r>
        <w:rPr>
          <w:rFonts w:hint="eastAsia"/>
          <w:color w:val="000000" w:themeColor="text1"/>
          <w:sz w:val="26"/>
          <w:szCs w:val="26"/>
        </w:rPr>
        <w:t>第一章　总则</w:t>
      </w:r>
      <w:bookmarkEnd w:id="0"/>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为了加强城乡规划管理，协调城乡空间布局，改善人居环境，促进城乡经济社会全面协调可持续发展，制定本法。</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制定和实施城乡规划，在规划区内进行建设活动，必须遵守本法。</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本法所称城乡规划，包括城镇体系规划、城市规划、镇规划、乡规划和村庄规划。城市规划、镇规划分为总体规划和详细规划。详细规划分为控制性详细规划和修建性详细规划。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法所称规划区，是指城市、镇和村庄的建成区以及因城乡建设和发展需要，必须实行规划控制的区域。规划区的具体范围由有关人民政府在组织编制的城市总体规划、镇总体规划、乡规划和村庄规划中，根据城乡经济社会发展水平和统筹城乡发展的需要划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城市和镇应当依照本法制定城市规划和镇规划。城市、镇规划区内的建设活动应当符合规划要求。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根据本地农村经济社会发展水平，按照因地制宜、切实可行的原则，确定应当制定乡规划、村庄规划的区域。在确定区域内的乡、村庄，应当依照本法制定规划，规划区内的乡、村庄建设应当符合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县级以上地方人民政府鼓励、指导前款规定以外的区域的乡、村庄制定和实施乡规划、村庄规划。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和实施城乡规划，应当遵循城乡统筹、合理布局、节约土地、集约发展和先规划后建设的原则，改善生态环境，促进资源、能源节约和综合利用，保护耕地等自然资源和历史文化遗产，保持地方特色、民族特色和传统风貌，防止污染和其他公害，并符合区域人口发展、国防建设、防灾减灾和公共卫生、公共安全的需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在规划区内进行建设活动，应当遵守土地管理、自然资源和环境保护等法律、法规的规定。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县级以上地方人民政府应当根据当地经济社会发展的实际，在城市总体规划、镇总体规划中合理确定城市、镇的发展规模、步骤和建设标准。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城市总体规划、镇总体规划以及乡规划和村庄规划的编制，应当依据国民经济和社会发展规划，并与土地利用总体规划相衔接。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各级人民政府应当将城乡规划的编制和管理经费纳入本级财政预算。</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经依法批准的城乡规划，是城乡建设和规划管理的依据，未经法定程序不得修改。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城乡规划组织编制机关应当及时公布经依法批准的城乡规划。但是，法律、行政法规规定不得公开的内容除外。</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任何单位和个人都应当遵守经依法批准并公布的城乡规划，服从规划管理，并有权就涉及其利害关系的建设活动是否符合规划的要求向城乡规划主管部门查询。</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任何单位和个人都有权向城乡规划主管部门或者其他有关部门举报或者控告违反城乡规划的行为。城乡规划主管部门或者其他有关部门对举报或者控告，应当及时受理并组织核查、处理。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国家鼓励采用先进的科学技术，增强城乡规划的科学性，提高城乡规划实施及监督管理的效能。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国务院城乡规划主管部门负责全国的城乡规划管理工作。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县级以上地方人民政府城乡规划主管部门负责本行政区域内的城乡规划管理工作。</w:t>
      </w:r>
    </w:p>
    <w:p>
      <w:pPr>
        <w:pStyle w:val="60"/>
        <w:spacing w:before="423" w:after="423"/>
        <w:rPr>
          <w:color w:val="000000" w:themeColor="text1"/>
          <w:sz w:val="26"/>
          <w:szCs w:val="26"/>
        </w:rPr>
      </w:pPr>
      <w:bookmarkStart w:id="1" w:name="_Toc7416CA4DA8F1620D9BBCFF90A2B6E810"/>
      <w:r>
        <w:rPr>
          <w:rFonts w:hint="eastAsia"/>
          <w:color w:val="000000" w:themeColor="text1"/>
          <w:sz w:val="26"/>
          <w:szCs w:val="26"/>
        </w:rPr>
        <w:t>第二章　城乡规划的制定</w:t>
      </w:r>
      <w:bookmarkEnd w:id="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国务院城乡规划主管部门会同国务院有关部门组织编制全国城镇体系规划，用于指导省域城镇体系规划、城市总体规划的编制。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全国城镇体系规划由国务院城乡规划主管部门报国务院审批。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省、自治区人民政府组织编制省域城镇体系规划，报国务院审批。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省域城镇体系规划的内容应当包括：城镇空间布局和规模控制，重大基础设施的布局，为保护生态环境、资源等需要严格控制的区域。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城市人民政府组织编制城市总体规划。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直辖市的城市总体规划由直辖市人民政府报国务院审批。省、自治区人民政府所在地的城市以及国务院确定的城市的总体规划，由省、自治区人民政府审查同意后，报国务院审批。其他城市的总体规划，由城市人民政府报省、自治区人民政府审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县人民政府组织编制县人民政府所在地镇的总体规划，报上一级人民政府审批。其他镇的总体规划由镇人民政府组织编制，报上一级人民政府审批。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人民政府组织编制的省域城镇体系规划，城市、县人民政府组织编制的总体规划，在报上一级人民政府审批前，应当先经本级人民代表大会常务委员会审议，常务委员会组成人员的审议意见交由本级人民政府研究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镇人民政府组织编制的镇总体规划，在报上一级人民政府审批前，应当先经镇</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人民代表大会审议，代表的审议意见交由本级人民政府研究处理。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规划的组织编制机关报送审批省域城镇体系规划、城市总体规划或者镇总体规划，应当将本级人民代表大会常务委员会组成人员或者镇人民代表大会代表的审议意见和根据审议意见修改规划的情况一并报送。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城市总体规划、镇总体规划的内容应当包括：城市、镇的发展布局，功能分区，用地布局，综合交通体系，禁止、限制和适宜建设的地域范围，各类专项规划等。</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规划区范围、规划区内建设用地规模、基础设施和公共服务设施用地、水源地和水系、基本农田和绿化用地、环境保护、自然与历史文化遗产保护以及防灾减灾等内容，应当作为城市总体规划、镇总体规划的强制性内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城市总体规划、镇总体规划的规划期限一般为二十年。城市总体规划还应当对城市更长远的发展作出预测性安排。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乡规划、村庄规划应当从农村实际出发，尊重村民意愿，体现地方和农村特色。</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乡规划、村庄规划的内容应当包括：规划区范围，住宅、道路、供水、排水、供电、垃圾收集、畜禽养殖场所等农村生产、生活服务设施、公益事业等各项建设的用地布局、建设要求，以及对耕地等自然资源和历史文化遗产保护、防灾减灾等的具体安排。乡规划还应当包括本行政区域内的村庄发展布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城市人民政府城乡规划主管部门根据城市总体规划的要求，组织编制城市的控制性详细规划，经本级人民政府批准后，报本级人民代表大会常务委员会和上一级人民政府备案。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镇人民政府根据镇总体规划的要求，组织编制镇的控制性详细规划，报上一级人民政府审批。县人民政府所在地镇的控制性详细规划，由县人民政府城乡规划主管部门根据镇总体规划的要求组织编制，经县人民政府批准后，报本级人民代表大会常务委员会和上一级人民政府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城市、县人民政府城乡规划主管部门和镇人民政府可以组织编制重要地块的修建性详细规划。修建性详细规划应当符合控制性详细规划。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乡、镇人民政府组织编制乡规划、村庄规划，报上一级人民政府审批。村庄规划在报送审批前，应当经村民会议或者村民代表会议讨论同意。</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首都的总体规划、详细规划应当统筹考虑中央国家机关用地布局和空间安排的需要。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城乡规划组织编制机关应当委托具有相应资质等级的单位承担城乡规划的具体编制工作。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（一）有法人资格；</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（二）有规定数量的经相关行业协会注册的规划师；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（三）有规定数量的相关专业技术人员；</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（四）有相应的技术装备；</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（五）有健全的技术、质量、财务管理制度。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编制城乡规划必须遵守国家有关标准。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编制城乡规划，应当具备国家规定的勘察、测绘、气象、地震、水文、环境等基础资料。</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县级以上地方人民政府有关主管部门应当根据编制城乡规划的需要，及时提供有关基础资料。</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城乡规划报送审批前，组织编制机关应当依法将城乡规划草案予以公告，并采取论证会、听证会或者其他方式征求专家和公众的意见。公告的时间不得少于三十日。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组织编制机关应当充分考虑专家和公众的意见，并在报送审批的材料中附具意见采纳情况及理由。</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省域城镇体系规划、城市总体规划、镇总体规划批准前，审批机关应当组织专家和有关部门进行审查。</w:t>
      </w:r>
    </w:p>
    <w:p>
      <w:pPr>
        <w:pStyle w:val="60"/>
        <w:spacing w:before="423" w:after="423"/>
        <w:rPr>
          <w:color w:val="000000" w:themeColor="text1"/>
          <w:sz w:val="26"/>
          <w:szCs w:val="26"/>
        </w:rPr>
      </w:pPr>
      <w:bookmarkStart w:id="2" w:name="_TocD72240887137E55D43543DDBFAEF03A6"/>
      <w:r>
        <w:rPr>
          <w:rFonts w:hint="eastAsia"/>
          <w:color w:val="000000" w:themeColor="text1"/>
          <w:sz w:val="26"/>
          <w:szCs w:val="26"/>
        </w:rPr>
        <w:t>第三章　城乡规划的实施</w:t>
      </w:r>
      <w:bookmarkEnd w:id="2"/>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地方各级人民政府应当根据当地经济社会发展水平，量力而行，尊重群众意愿，有计划、分步骤地组织实施城乡规划。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城市的建设和发展，应当优先安排基础设施以及公共服务设施的建设，妥善处理新区开发与旧区改建的关系，统筹兼顾进城务工人员生活和周边农村经济社会发展、村民生产与生活的需要。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镇的建设和发展，应当结合农村经济社会发展和产业结构调整，优先安排供水、排水、供电、供气、道路、通信、广播电视等基础设施和学校、卫生院、文化站、幼儿园、福利院等公共服务设施的建设，为周边农村提供服务。</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乡、村庄的建设和发展，应当因地制宜、节约用地，发挥村民自治组织的作用，引导村民合理进行建设，改善农村生产、生活条件。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城市新区的开发和建设，应当合理确定建设规模和时序，充分利用现有市政基础设施和公共服务设施，严格保护自然资源和生态环境，体现地方特色。</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在城市总体规划、镇总体规划确定的建设用地范围以外，不得设立各类开发区和城市新区。</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旧城区的改建，应当保护历史文化遗产和传统风貌，合理确定拆迁和建设规模，有计划地对危房集中、基础设施落后等地段进行改建。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历史文化名城、名镇、名村的保护以及受保护建筑物的维护和使用，应当遵守有关法律、行政法规和国务院的规定。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城乡建设和发展，应当依法保护和合理利用风景名胜资源，统筹安排风景名胜区及周边乡、镇、村庄的建设。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风景名胜区的规划、建设和管理，应当遵守有关法律、行政法规和国务院的规定。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城市地下空间的开发和利用，应当与经济和技术发展水平相适应，遵循统筹安排、综合开发、合理利用的原则，充分考虑防灾减灾、人民防空和通信等需要，并符合城市规划，履行规划审批手续。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城市、县、镇人民政府应当根据城市总体规划、镇总体规划、土地利用总体规划和年度计划以及国民经济和社会发展规划，制定近期建设规划，报总体规划审批机关备案。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近期建设规划应当以重要基础设施、公共服务设施和中低收入居民住房建设以及生态环境保护为重点内容，明确近期建设的时序、发展方向和空间布局。近期建设规划的规划期限为五年。</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确定的铁路、公路、港口、机场、道路、绿地、输配电设施及输电线路走廊、通信设施、广播电视设施、管道设施、河道、水库、水源地、自然保护区、防汛通道、消防通道、核电站、垃圾填埋场及焚烧厂、污水处理厂和公共服务设施的用地以及其他需要依法保护的用地，禁止擅自改变用途。</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按照国家规定需要有关部门批准或者核准的建设项目，以划拨方式提供国有土地使用权的，建设单位在报送有关部门批准或者核准前，应当向城乡规划主管部门申请核发选址意见书。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前款规定以外的建设项目不需要申请选址意见书。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建设单位在取得建设用地规划许可证后，方可向县级以上地方人民政府土地主管部门申请用地，经县级以上人民政府审批后，由土地主管部门划拨土地。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以出让方式取得国有土地使用权的建设项目，建设单位在取得建设项目的批准、核准、备案文件和签订国有土地使用权出让合同后，向城市、县人民政府城乡规划主管部门领取建设用地规划许可证。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城市、县人民政府城乡规划主管部门不得在建设用地规划许可证中，擅自改变作为国有土地使用权出让合同组成部分的规划条件。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规划条件未纳入国有土地使用权出让合同的，该国有土地使用权出让合同无效；对未取得建设用地规划许可证的建设单位批准用地的，由县级以上</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人民政府撤销有关批准文件；占用土地的，应当及时退回；给当事人造成损失的，</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应当依法给予赔偿。</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城市、县人民政府城乡规划主管部门或者省、自治区、直辖市人民政府确定的镇人民政府应当依法将经审定的修建性详细规划、建设工程设计方案的总平面图予以公布。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在乡、村庄规划区内使用原有宅基地进行农村村民住宅建设的规划管理办法，由省、自治区、直辖市制定。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建设单位或者个人在取得乡村建设规划许可证后，方可办理用地审批手续。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城乡规划主管部门不得在城乡规划确定的建设用地范围以外作出规划许可。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建设单位应当及时将依法变更后的规划条件报有关人民政府土地主管部门备案。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在城市、镇规划区内进行临时建设的，应当经城市、县人民政府城乡规划主管部门批准。临时建设影响近期建设规划或者控制性详细规划的实施以及交通、市容、安全等的，不得批准。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临时建设应当在批准的使用期限内自行拆除。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临时建设和临时用地规划管理的具体办法，由省、自治区、直辖市人民政府制定。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县级以上地方人民政府城乡规划主管部门按照国务院规定对建设工程是否符合规划条件予以核实。未经核实或者经核实不符合规划条件的，建设</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单位不得组织竣工验收。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建设单位应当在竣工验收后六个月内向城乡规划主管部门报送有关竣工验收资料。</w:t>
      </w:r>
    </w:p>
    <w:p>
      <w:pPr>
        <w:pStyle w:val="60"/>
        <w:spacing w:before="423" w:after="423"/>
        <w:rPr>
          <w:color w:val="000000" w:themeColor="text1"/>
          <w:sz w:val="26"/>
          <w:szCs w:val="26"/>
        </w:rPr>
      </w:pPr>
      <w:bookmarkStart w:id="3" w:name="_Toc3CF752A2928C40C531A4704DF60824DD"/>
    </w:p>
    <w:p>
      <w:pPr>
        <w:pStyle w:val="60"/>
        <w:spacing w:before="423" w:after="423"/>
        <w:rPr>
          <w:color w:val="000000" w:themeColor="text1"/>
          <w:sz w:val="26"/>
          <w:szCs w:val="26"/>
        </w:rPr>
      </w:pPr>
      <w:r>
        <w:rPr>
          <w:rFonts w:hint="eastAsia"/>
          <w:color w:val="000000" w:themeColor="text1"/>
          <w:sz w:val="26"/>
          <w:szCs w:val="26"/>
        </w:rPr>
        <w:t>第四章　城乡规划的修改</w:t>
      </w:r>
      <w:bookmarkEnd w:id="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域城镇体系规划、城市总体规划、镇总体规划的组织编制机关，应当组织有关部门和专家定期对规划实施情况进行评估，并采取论证会、听证会或者其他方式征求公众意见。组织编制机关应当向本级人民代表大会常务委员会、镇人民代表大会和原审批机关提出评估报告并附具征求意见的情况。</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有下列情形之一的，组织编制机关方可按照规定的权限和程序修改省域城镇体系规划、城市总体规划、镇总体规划：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（一）上级人民政府制定的城乡规划发生变更，提出修改规划要求的；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（二）行政区划调整确需修改规划的；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（三）因国务院批准重大建设工程确需修改规划的；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（四）经评估确需修改规划的；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（五）城乡规划的审批机关认为应当修改规划的其他情形。</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修改省域城镇体系规划、城市总体规划、镇总体规划前，组织编制机关应当对原规划的实施情况进行总结，并向原审批机关报告；修改涉及城市总体规划、镇总体规划强制性内容的，应当先向原审批机关提出专题报告，经同意后，方可编制修改方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修改后的省域城镇体系规划、城市总体规划、镇总体规划，应当依照本法第十三条、第十四条、第十五条和第十六条规定的审批程序报批。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修改控制性详细规划的，组织编制机关应当对修改的必要性进行论证，征求规划地段内利害关系人的意见，并向原审批机关提出专题报告，经原审批机关同意后，方可编制修改方案。修改后的控制性详细规划，应当依照本法第十九条、第二十条规定的审批程序报批。控制性详细规划修改涉及城市总体规划、镇总体规划的强制性内容的，应当先修改总体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修改乡规划、村庄规划的，应当依照本法第二十二条规定的审批程序报批。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城市、县、镇人民政府修改近期建设规划的，应当将修改后的近期建设规划报总体规划审批机关备案。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在选址意见书、建设用地规划许可证、建设工程规划许可证或者乡村建设规划许可证发放后，因依法修改城乡规划给被许可人合法权益造成损失的，应当依法给予补偿。</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经依法审定的修建性详细规划、建设工程设计方案的总平面图不得随意修改；确需修改的，城乡规划主管部门应当采取听证会等形式，听取利害关系人的意见；</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因修改给利害关系人合法权益造成损失的，应当依法给予补偿。</w:t>
      </w:r>
    </w:p>
    <w:p>
      <w:pPr>
        <w:pStyle w:val="60"/>
        <w:spacing w:before="423" w:after="423"/>
        <w:rPr>
          <w:color w:val="000000" w:themeColor="text1"/>
          <w:sz w:val="26"/>
          <w:szCs w:val="26"/>
        </w:rPr>
      </w:pPr>
      <w:bookmarkStart w:id="4" w:name="_TocF0111CBDD0E045455AC37A21F6280746"/>
      <w:r>
        <w:rPr>
          <w:rFonts w:hint="eastAsia"/>
          <w:color w:val="000000" w:themeColor="text1"/>
          <w:sz w:val="26"/>
          <w:szCs w:val="26"/>
        </w:rPr>
        <w:t>第五章　监督检查</w:t>
      </w:r>
      <w:bookmarkEnd w:id="4"/>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县级以上人民政府及其城乡规划主管部门应当加强对城乡规划编制、审批、实施、修改的监督检查。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地方各级人民政府应当向本级人民代表大会常务委员会或者乡、镇人民代表大会报告城乡规划的实施情况，并接受监督。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县级以上人民政府城乡规划主管部门对城乡规划的实施情况进行监督检查，有权采取以下措施：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（一）要求有关单位和人员提供与监督事项有关的文件、资料，并进行复制；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（二）要求有关单位和人员就监督事项涉及的问题作出解释和说明，并根据需要进入现场进行勘测；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（三）责令有关单位和人员停止违反有关城乡规划的法律、法规的行为。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城乡规划主管部门的工作人员履行前款规定的监督检查职责，应当出示执法证件。被监督检查的单位和人员应当予以配合，不得妨碍和阻挠依法进行的监督检查活动。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监督检查情况和处理结果应当依法公开，供公众查阅和监督。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城乡规划主管部门在查处违反本法规定的行为时，发现国家机关工作人员依法应当给予行政处分的，应当向其任免机关或者监察机关提出处分建议。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依照本法规定应当给予行政处罚，而有关城乡规划主管部门不给予行政处罚的，上级人民政府城乡规划主管部门有权责令其作出行政处罚决定或者建议有关人民政府责令其给予行政处罚。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城乡规划主管部门违反本法规定作出行政许可的，上级人民政府城乡规划主管部门有权责令其撤销或者直接撤销该行政许可。因撤销行政许可给当事人合法权益造成损失的，应当依法给予赔偿。</w:t>
      </w:r>
    </w:p>
    <w:p>
      <w:pPr>
        <w:pStyle w:val="60"/>
        <w:spacing w:before="423" w:after="423"/>
        <w:rPr>
          <w:color w:val="000000" w:themeColor="text1"/>
          <w:sz w:val="26"/>
          <w:szCs w:val="26"/>
        </w:rPr>
      </w:pPr>
      <w:bookmarkStart w:id="5" w:name="_TocEAF4B3532431124CFAB94D81AA2A4AFE"/>
      <w:r>
        <w:rPr>
          <w:rFonts w:hint="eastAsia"/>
          <w:color w:val="000000" w:themeColor="text1"/>
          <w:sz w:val="26"/>
          <w:szCs w:val="26"/>
        </w:rPr>
        <w:t>第六章　法律责任</w:t>
      </w:r>
      <w:bookmarkEnd w:id="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对依法应当编制城乡规划而未组织编制，或者未按法定程序编制、审批、修改城乡规划的，由上级人民政府责令改正，通报批评；对有关人民政府负责人和其他直接责任人员依法给予处分。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城乡规划组织编制机关委托不具有相应资质等级的单位编制城乡规划的，由上级人民政府责令改正，通报批评；对有关人民政府负责人和其他直接责任人员依法给予处分。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镇人民政府或者县级以上人民政府城乡规划主管部门有下列行为之一的，由本级人民政府、上级人民政府城乡规划主管部门或者监察机关依据职权责令改正，通报批评；对直接负责的主管人员和其他直接责任人员依法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（一）未依法组织编制城市的控制性详细规划、县人民政府所在地镇的控制性详细规划的；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（二）超越职权或者对不符合法定条件的申请人核发选址意见书、建设用地规划许可证、建设工程规划许可证、乡村建设规划许可证的；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（三）对符合法定条件的申请人未在法定期限内核发选址意见书、建设用地规划许可证、建设工程规划许可证、乡村建设规划许可证的；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（四）未依法对经审定的修建性详细规划、建设工程设计方案的总平面图予以公布的；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（五）同意修改修建性详细规划、建设工程设计方案的总平面图前未采取听证会等形式听取利害关系人的意见的；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（六）发现未依法取得规划许可或者违反规划许可的规定在规划区内进行建设的行为，而不予查处或者接到举报后不依法处理的。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县级以上人民政府有关部门有下列行为之一的，由本级人民政府或者上级人民政府有关部门责令改正，通报批评；对直接负责的主管人员和其他直接责任人员依法给予处分：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（一）对未依法取得选址意见书的建设项目核发建设项目批准文件的；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（二）未依法在国有土地使用权出让合同中确定规划条件或者改变国有土地使用权出让合同中依法确定的规划条件的；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（三）对未依法取得建设用地规划许可证的建设单位划拨国有土地使用权的。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（一）超越资质等级许可的范围承揽城乡规划编制工作的；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（二）违反国家有关标准编制城乡规划的。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未依法取得资质证书承揽城乡规划编制工作的，由县级以上地方人民政府城乡规划主管部门责令停止违法行为，依照前款规定处以罚款；造成损失的，依法承担赔偿责任。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以欺骗手段取得资质证书承揽城乡规划编制工作的，由原发证机关吊销资质证书，依照本条第一款规定处以罚款；造成损失的，依法承担赔偿责任。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城乡规划编制单位取得资质证书后，不再符合相应的资质条件的，由原发证机关责令限期改正；逾期不改正的，降低资质等级或者吊销资质证书。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在乡、村庄规划区内未依法取得乡村建设规划许可证或者未按照</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乡村建设规划许可证的规定进行建设的，由乡、镇人民政府责令停止建设、限期改正；逾期不改正的，可以拆除。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建设单位或者个人有下列行为之一的，由所在地城市、县人民政府城乡规划主管部门责令限期拆除，可以并处临时建设工程造价一倍以下的罚款：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（一）未经批准进行临时建设的；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（二）未按照批准内容进行临时建设的；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（三）临时建筑物、构筑物超过批准期限不拆除的。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建设单位未在建设工程竣工验收后六个月内向城乡规划主管部门报送有关竣工验收资料的，由所在地城市、县人民政府城乡规划主管部门责令限期补报；逾期不补报的，处一万元以上五万元以下的罚款。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城乡规划主管部门作出责令停止建设或者限期拆除的决定后，当事人不停止建设或者逾期不拆除的，建设工程所在地县级以上地方人民政府可以责成有关部门采取查封施工现场、强制拆除等措施。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违反本法规定，构成犯罪的，依法追究刑事责任。</w:t>
      </w:r>
    </w:p>
    <w:p>
      <w:pPr>
        <w:pStyle w:val="60"/>
        <w:spacing w:before="423" w:after="423"/>
        <w:rPr>
          <w:color w:val="000000" w:themeColor="text1"/>
          <w:sz w:val="26"/>
          <w:szCs w:val="26"/>
        </w:rPr>
      </w:pPr>
      <w:bookmarkStart w:id="6" w:name="_Toc672EB9B311238FEC589C132A207B7383"/>
      <w:r>
        <w:rPr>
          <w:rFonts w:hint="eastAsia"/>
          <w:color w:val="000000" w:themeColor="text1"/>
          <w:sz w:val="26"/>
          <w:szCs w:val="26"/>
        </w:rPr>
        <w:t>第七章　附则</w:t>
      </w:r>
      <w:bookmarkEnd w:id="6"/>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第七十条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本法自2008年1月1日起施行。《中华人民共和国城市规划法》同时废止。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2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7" w:name="_GoBack"/>
    <w:bookmarkEnd w:id="7"/>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541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542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"https://alphalawyer.cn/ilawregu-search/api/v1/lawregu/redict/e5df54a43acb902d6853996b2649c511" </w:instrText>
    </w:r>
    <w:r>
      <w:fldChar w:fldCharType="separate"/>
    </w:r>
    <w:r>
      <w:rPr>
        <w:rFonts w:hint="eastAsia" w:ascii="宋体" w:hAnsi="宋体" w:eastAsia="宋体" w:cs="华文中宋"/>
        <w:b/>
        <w:color w:val="7E7E7E" w:themeColor="text1" w:themeTint="80"/>
        <w:sz w:val="18"/>
        <w:szCs w:val="18"/>
      </w:rPr>
      <w:t>中华人民共和</w:t>
    </w:r>
    <w:r>
      <w:rPr>
        <w:rFonts w:hint="eastAsia" w:ascii="宋体" w:hAnsi="宋体" w:eastAsia="宋体" w:cs="思源黑体 CN Bold"/>
        <w:b/>
        <w:color w:val="7E7E7E" w:themeColor="text1" w:themeTint="80"/>
        <w:sz w:val="18"/>
        <w:szCs w:val="18"/>
      </w:rPr>
      <w:t>国城乡规划法</w:t>
    </w:r>
    <w:r>
      <w:rPr>
        <w:rFonts w:hint="eastAsia" w:ascii="宋体" w:hAnsi="宋体" w:eastAsia="宋体" w:cs="思源黑体 CN Bold"/>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"https://alphalawyer.cn/ilawregu-search/api/v1/lawregu/redict/e5df54a43acb902d6853996b2649c511" </w:instrText>
    </w:r>
    <w:r>
      <w:fldChar w:fldCharType="separate"/>
    </w:r>
    <w:r>
      <w:rPr>
        <w:rFonts w:hint="eastAsia" w:ascii="宋体" w:hAnsi="宋体" w:eastAsia="宋体" w:cs="华文中宋"/>
        <w:b/>
        <w:color w:val="7E7E7E" w:themeColor="text1" w:themeTint="80"/>
        <w:sz w:val="18"/>
        <w:szCs w:val="18"/>
      </w:rPr>
      <w:t>中华人民共和</w:t>
    </w:r>
    <w:r>
      <w:rPr>
        <w:rFonts w:hint="eastAsia" w:ascii="宋体" w:hAnsi="宋体" w:eastAsia="宋体" w:cs="思源黑体 CN Bold"/>
        <w:b/>
        <w:color w:val="7E7E7E" w:themeColor="text1" w:themeTint="80"/>
        <w:sz w:val="18"/>
        <w:szCs w:val="18"/>
      </w:rPr>
      <w:t>国城乡规划法</w:t>
    </w:r>
    <w:r>
      <w:rPr>
        <w:rFonts w:hint="eastAsia" w:ascii="宋体" w:hAnsi="宋体" w:eastAsia="宋体" w:cs="思源黑体 CN Bold"/>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false"/>
  <w:bordersDoNotSurroundFooter w:val="false"/>
  <w:documentProtection w:enforcement="0"/>
  <w:defaultTabStop w:val="420"/>
  <w:evenAndOddHeaders w:val="true"/>
  <w:drawingGridHorizontalSpacing w:val="105"/>
  <w:drawingGridVerticalSpacing w:val="423"/>
  <w:displayHorizontalDrawingGridEvery w:val="1"/>
  <w:displayVerticalDrawingGridEvery w:val="1"/>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958A3"/>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4CB8"/>
    <w:rsid w:val="00376810"/>
    <w:rsid w:val="00383B57"/>
    <w:rsid w:val="003B262C"/>
    <w:rsid w:val="003B2817"/>
    <w:rsid w:val="003B4437"/>
    <w:rsid w:val="003C10FA"/>
    <w:rsid w:val="003D3437"/>
    <w:rsid w:val="003D5198"/>
    <w:rsid w:val="003E5582"/>
    <w:rsid w:val="003F7DB5"/>
    <w:rsid w:val="004045E1"/>
    <w:rsid w:val="00405BE7"/>
    <w:rsid w:val="00406A7C"/>
    <w:rsid w:val="00413553"/>
    <w:rsid w:val="00421888"/>
    <w:rsid w:val="00431951"/>
    <w:rsid w:val="00446D77"/>
    <w:rsid w:val="00467D9B"/>
    <w:rsid w:val="00475DC8"/>
    <w:rsid w:val="004944E8"/>
    <w:rsid w:val="004B4872"/>
    <w:rsid w:val="004D31E1"/>
    <w:rsid w:val="004F13D2"/>
    <w:rsid w:val="0050214D"/>
    <w:rsid w:val="0050753C"/>
    <w:rsid w:val="00542DCC"/>
    <w:rsid w:val="0055454B"/>
    <w:rsid w:val="0058105E"/>
    <w:rsid w:val="00581CC2"/>
    <w:rsid w:val="0059667D"/>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AF3CCC"/>
    <w:rsid w:val="00B003BB"/>
    <w:rsid w:val="00B22CD4"/>
    <w:rsid w:val="00B26EB6"/>
    <w:rsid w:val="00B33D8B"/>
    <w:rsid w:val="00B42D0D"/>
    <w:rsid w:val="00B45CD8"/>
    <w:rsid w:val="00B8279B"/>
    <w:rsid w:val="00B94875"/>
    <w:rsid w:val="00BA40E8"/>
    <w:rsid w:val="00BA44DF"/>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662B6"/>
    <w:rsid w:val="00F91D76"/>
    <w:rsid w:val="00FA04AF"/>
    <w:rsid w:val="00FA49DB"/>
    <w:rsid w:val="00FD2CD5"/>
    <w:rsid w:val="00FD7099"/>
    <w:rsid w:val="00FE1BFB"/>
    <w:rsid w:val="00FE5686"/>
    <w:rsid w:val="00FF68A3"/>
    <w:rsid w:val="11574E9D"/>
    <w:rsid w:val="15460645"/>
    <w:rsid w:val="1EC6197C"/>
    <w:rsid w:val="1FFF208F"/>
    <w:rsid w:val="203D3D09"/>
    <w:rsid w:val="2DA50376"/>
    <w:rsid w:val="419B341B"/>
    <w:rsid w:val="49CD01EE"/>
    <w:rsid w:val="4E8F6EEE"/>
    <w:rsid w:val="4FF14F89"/>
    <w:rsid w:val="55266A71"/>
    <w:rsid w:val="59143B66"/>
    <w:rsid w:val="5E0701F0"/>
    <w:rsid w:val="6C75172E"/>
    <w:rsid w:val="70AE298E"/>
    <w:rsid w:val="76F52E47"/>
    <w:rsid w:val="7B240B18"/>
    <w:rsid w:val="7ED7C018"/>
    <w:rsid w:val="7EF521BD"/>
    <w:rsid w:val="7FCF81A0"/>
    <w:rsid w:val="E73F343C"/>
    <w:rsid w:val="FB7E358D"/>
    <w:rsid w:val="FFDF7D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9382</Words>
  <Characters>367</Characters>
  <Lines>14</Lines>
  <Paragraphs>165</Paragraphs>
  <TotalTime>11</TotalTime>
  <ScaleCrop>false</ScaleCrop>
  <LinksUpToDate>false</LinksUpToDate>
  <CharactersWithSpaces>9584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2022-11-09T02:10:00Z</cp:lastPrinted>
  <dcterms:modified xsi:type="dcterms:W3CDTF">2024-06-14T16:06:19Z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