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Lines="100" w:afterLines="100" w:line="360" w:lineRule="exact"/>
        <w:jc w:val="center"/>
        <w:rPr>
          <w:rFonts w:cs="仿宋" w:asciiTheme="majorEastAsia" w:hAnsiTheme="majorEastAsia" w:eastAsiaTheme="majorEastAsia"/>
          <w:b/>
          <w:bCs/>
          <w:color w:val="0C0C0C" w:themeColor="text1" w:themeTint="F2"/>
          <w:sz w:val="32"/>
          <w:szCs w:val="32"/>
        </w:rPr>
      </w:pPr>
      <w:bookmarkStart w:id="0" w:name="_GoBack"/>
      <w:bookmarkEnd w:id="0"/>
      <w:r>
        <w:rPr>
          <w:rFonts w:hint="eastAsia" w:cs="华文中宋" w:asciiTheme="majorEastAsia" w:hAnsiTheme="majorEastAsia" w:eastAsiaTheme="majorEastAsia"/>
          <w:b/>
          <w:bCs/>
          <w:color w:val="0C0C0C" w:themeColor="text1" w:themeTint="F2"/>
          <w:sz w:val="32"/>
          <w:szCs w:val="32"/>
        </w:rPr>
        <w:t>城市道路管理条例</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(1996年6月4日中华人民共和国国务院令第198号发布　根据2011年1月8日《国务院关于废止和修改部分行政法规的决定》第一次修订　根据2017年3月1日《国务院关于修改和废止部分行政法规的决定》第二次修订　根据2019年3月24日《国务院关于修改部分行政法规的决定》第三次修订)</w:t>
      </w:r>
    </w:p>
    <w:p>
      <w:pPr>
        <w:pStyle w:val="28"/>
        <w:pageBreakBefore w:val="0"/>
        <w:widowControl w:val="0"/>
        <w:kinsoku/>
        <w:wordWrap/>
        <w:overflowPunct/>
        <w:topLinePunct w:val="0"/>
        <w:autoSpaceDE/>
        <w:autoSpaceDN/>
        <w:bidi w:val="0"/>
        <w:adjustRightInd/>
        <w:snapToGrid/>
        <w:spacing w:before="312" w:after="312" w:line="400" w:lineRule="exact"/>
        <w:textAlignment w:val="auto"/>
        <w:rPr>
          <w:color w:val="0C0C0C" w:themeColor="text1" w:themeTint="F2"/>
          <w:sz w:val="26"/>
          <w:szCs w:val="26"/>
        </w:rPr>
      </w:pPr>
      <w:r>
        <w:rPr>
          <w:rFonts w:hint="eastAsia"/>
          <w:color w:val="0C0C0C" w:themeColor="text1" w:themeTint="F2"/>
          <w:sz w:val="26"/>
          <w:szCs w:val="26"/>
        </w:rPr>
        <w:t>第一章　总则</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第一条</w:t>
      </w:r>
      <w:r>
        <w:rPr>
          <w:rFonts w:hint="eastAsia" w:ascii="仿宋" w:hAnsi="仿宋" w:cs="仿宋"/>
          <w:color w:val="0C0C0C" w:themeColor="text1" w:themeTint="F2"/>
          <w:sz w:val="26"/>
          <w:szCs w:val="26"/>
        </w:rPr>
        <w:t>　为了加强城市道路管理，保障城市道路完好，充分发挥城市道路功能，促进城市经济和社会发展，制定本条例。</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第二条</w:t>
      </w:r>
      <w:r>
        <w:rPr>
          <w:rFonts w:hint="eastAsia" w:ascii="仿宋" w:hAnsi="仿宋" w:cs="仿宋"/>
          <w:color w:val="0C0C0C" w:themeColor="text1" w:themeTint="F2"/>
          <w:sz w:val="26"/>
          <w:szCs w:val="26"/>
        </w:rPr>
        <w:t>　本条例所称城市道路，是指城市供车辆、行人通行的，具备一定技术条件的道路、桥梁及其附属设施。</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第三条</w:t>
      </w:r>
      <w:r>
        <w:rPr>
          <w:rFonts w:hint="eastAsia" w:ascii="仿宋" w:hAnsi="仿宋" w:cs="仿宋"/>
          <w:color w:val="0C0C0C" w:themeColor="text1" w:themeTint="F2"/>
          <w:sz w:val="26"/>
          <w:szCs w:val="26"/>
        </w:rPr>
        <w:t>　本条例适用于城市道路规划、建设、养护、维修和路政管理。</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第四条</w:t>
      </w:r>
      <w:r>
        <w:rPr>
          <w:rFonts w:hint="eastAsia" w:ascii="仿宋" w:hAnsi="仿宋" w:cs="仿宋"/>
          <w:color w:val="0C0C0C" w:themeColor="text1" w:themeTint="F2"/>
          <w:sz w:val="26"/>
          <w:szCs w:val="26"/>
        </w:rPr>
        <w:t>　城市道路管理实行统一规划、配套建设、协调发展和建设、养护、管理并重的原则。</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第五条</w:t>
      </w:r>
      <w:r>
        <w:rPr>
          <w:rFonts w:hint="eastAsia" w:ascii="仿宋" w:hAnsi="仿宋" w:cs="仿宋"/>
          <w:color w:val="0C0C0C" w:themeColor="text1" w:themeTint="F2"/>
          <w:sz w:val="26"/>
          <w:szCs w:val="26"/>
        </w:rPr>
        <w:t>　国家鼓励和支持城市道路科学技术研究，推广先进技术，提高城市道路管理的科学技术水平。</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第六条　</w:t>
      </w:r>
      <w:r>
        <w:rPr>
          <w:rFonts w:hint="eastAsia" w:ascii="仿宋" w:hAnsi="仿宋" w:cs="仿宋"/>
          <w:color w:val="0C0C0C" w:themeColor="text1" w:themeTint="F2"/>
          <w:sz w:val="26"/>
          <w:szCs w:val="26"/>
        </w:rPr>
        <w:t>国务院建设行政主管部门主管全国城市道路管理工作。</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省、自治区人民政府城市建设行政主管部门主管本行政区域内的城市道路管理工作。</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县级以上城市人民政府市政工程行政主管部门主管本行政区域内的城市道路管理工作。</w:t>
      </w:r>
    </w:p>
    <w:p>
      <w:pPr>
        <w:pStyle w:val="28"/>
        <w:pageBreakBefore w:val="0"/>
        <w:widowControl w:val="0"/>
        <w:kinsoku/>
        <w:wordWrap/>
        <w:overflowPunct/>
        <w:topLinePunct w:val="0"/>
        <w:autoSpaceDE/>
        <w:autoSpaceDN/>
        <w:bidi w:val="0"/>
        <w:adjustRightInd/>
        <w:snapToGrid/>
        <w:spacing w:before="312" w:after="312" w:line="400" w:lineRule="exact"/>
        <w:textAlignment w:val="auto"/>
        <w:rPr>
          <w:color w:val="0C0C0C" w:themeColor="text1" w:themeTint="F2"/>
          <w:sz w:val="26"/>
          <w:szCs w:val="26"/>
        </w:rPr>
      </w:pPr>
      <w:r>
        <w:rPr>
          <w:rFonts w:hint="eastAsia"/>
          <w:color w:val="0C0C0C" w:themeColor="text1" w:themeTint="F2"/>
          <w:sz w:val="26"/>
          <w:szCs w:val="26"/>
        </w:rPr>
        <w:t>第二章　规划和建设</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第七条　</w:t>
      </w:r>
      <w:r>
        <w:rPr>
          <w:rFonts w:hint="eastAsia" w:ascii="仿宋" w:hAnsi="仿宋" w:cs="仿宋"/>
          <w:color w:val="0C0C0C" w:themeColor="text1" w:themeTint="F2"/>
          <w:sz w:val="26"/>
          <w:szCs w:val="26"/>
        </w:rPr>
        <w:t>县级以上城市人民政府应当组织市政工程、城市规划、公安交通等部门，根据城市总体规划编制城市道路发展规划。</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市政工程行政主管部门应当根据城市道路发展规划，制定城市道路年度建设计划，经城市人民政府批准后实施。</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第八条</w:t>
      </w:r>
      <w:r>
        <w:rPr>
          <w:rFonts w:hint="eastAsia" w:ascii="仿宋" w:hAnsi="仿宋" w:cs="仿宋"/>
          <w:color w:val="0C0C0C" w:themeColor="text1" w:themeTint="F2"/>
          <w:sz w:val="26"/>
          <w:szCs w:val="26"/>
        </w:rPr>
        <w:t>　城市道路建设资金可以按照国家有关规定，采取政府投资、集资、国内外贷款、国有土地有偿使用收入、发行债券等多种渠道筹集。</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第九条</w:t>
      </w:r>
      <w:r>
        <w:rPr>
          <w:rFonts w:hint="eastAsia" w:ascii="仿宋" w:hAnsi="仿宋" w:cs="仿宋"/>
          <w:color w:val="0C0C0C" w:themeColor="text1" w:themeTint="F2"/>
          <w:sz w:val="26"/>
          <w:szCs w:val="26"/>
        </w:rPr>
        <w:t>　城市道路的建设应当符合城市道路技术规范。</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第十条</w:t>
      </w:r>
      <w:r>
        <w:rPr>
          <w:rFonts w:hint="eastAsia" w:ascii="仿宋" w:hAnsi="仿宋" w:cs="仿宋"/>
          <w:color w:val="0C0C0C" w:themeColor="text1" w:themeTint="F2"/>
          <w:sz w:val="26"/>
          <w:szCs w:val="26"/>
        </w:rPr>
        <w:t>　政府投资建设城市道路的，应当根据城市道路发展规划和年度建设计划，由市政工程行政主管部门组织建设。</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单位投资建设城市道路的，应当符合城市道路发展规划。</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城市住宅小区、开发区内的道路建设，应当分别纳入住宅小区、开发区的开发建设计划配套建设。</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第十一条</w:t>
      </w:r>
      <w:r>
        <w:rPr>
          <w:rFonts w:hint="eastAsia" w:ascii="仿宋" w:hAnsi="仿宋" w:cs="仿宋"/>
          <w:color w:val="0C0C0C" w:themeColor="text1" w:themeTint="F2"/>
          <w:sz w:val="26"/>
          <w:szCs w:val="26"/>
        </w:rPr>
        <w:t>　国家鼓励国内外企业和其他组织以及个人按照城市道路发展规划，投资建设城市道路。</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第十二条</w:t>
      </w:r>
      <w:r>
        <w:rPr>
          <w:rFonts w:hint="eastAsia" w:ascii="仿宋" w:hAnsi="仿宋" w:cs="仿宋"/>
          <w:color w:val="0C0C0C" w:themeColor="text1" w:themeTint="F2"/>
          <w:sz w:val="26"/>
          <w:szCs w:val="26"/>
        </w:rPr>
        <w:t>　城市供水、排水、燃气、热力、供电、通信、消防等依附于城市道路的各种管线、杆线等设施的建设计划，应当与城市道路发展规划和年度建设计划相协调，坚持先地下、后地上的施工原则，与城市道路同步建设。</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第十三条</w:t>
      </w:r>
      <w:r>
        <w:rPr>
          <w:rFonts w:hint="eastAsia" w:ascii="仿宋" w:hAnsi="仿宋" w:cs="仿宋"/>
          <w:color w:val="0C0C0C" w:themeColor="text1" w:themeTint="F2"/>
          <w:sz w:val="26"/>
          <w:szCs w:val="26"/>
        </w:rPr>
        <w:t>　新建的城市道路与铁路干线相交的，应当根据需要在城市规划中预留立体交通设施的建设位置。</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城市道路与铁路相交的道口建设应当符合国家有关技术规范，并根据需要逐步建设立体交通设施。建设立体交通设施所需投资，按照国家规定由有关部门协商确定。</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第十四条</w:t>
      </w:r>
      <w:r>
        <w:rPr>
          <w:rFonts w:hint="eastAsia" w:ascii="仿宋" w:hAnsi="仿宋" w:cs="仿宋"/>
          <w:color w:val="0C0C0C" w:themeColor="text1" w:themeTint="F2"/>
          <w:sz w:val="26"/>
          <w:szCs w:val="26"/>
        </w:rPr>
        <w:t>　建设跨越江河的桥梁和隧道，应当符合国家规定的防洪、通航标准和其他有关技术规范。</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第十五条</w:t>
      </w:r>
      <w:r>
        <w:rPr>
          <w:rFonts w:hint="eastAsia" w:ascii="仿宋" w:hAnsi="仿宋" w:cs="仿宋"/>
          <w:color w:val="0C0C0C" w:themeColor="text1" w:themeTint="F2"/>
          <w:sz w:val="26"/>
          <w:szCs w:val="26"/>
        </w:rPr>
        <w:t>　县级以上城市人民政府应当有计划地按照城市道路技术规范改建、拓宽城市道路和公路的结合部，公路行政主管部门可以按照国家有关规定在资金上给予补助。</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第十六条</w:t>
      </w:r>
      <w:r>
        <w:rPr>
          <w:rFonts w:hint="eastAsia" w:ascii="仿宋" w:hAnsi="仿宋" w:cs="仿宋"/>
          <w:color w:val="0C0C0C" w:themeColor="text1" w:themeTint="F2"/>
          <w:sz w:val="26"/>
          <w:szCs w:val="26"/>
        </w:rPr>
        <w:t>　承担城市道路设计、施工的单位，应当具有相应的资质等级，并按照资质等级承担相应的城市道路的设计、施工任务。</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第十七条</w:t>
      </w:r>
      <w:r>
        <w:rPr>
          <w:rFonts w:hint="eastAsia" w:ascii="仿宋" w:hAnsi="仿宋" w:cs="仿宋"/>
          <w:color w:val="0C0C0C" w:themeColor="text1" w:themeTint="F2"/>
          <w:sz w:val="26"/>
          <w:szCs w:val="26"/>
        </w:rPr>
        <w:t>　城市道路的设计、施工，应当严格执行国家和地方规定的城市道路设计、施工的技术规范。</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城市道路施工，实行工程质量监督制度。</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城市道路工程竣工，经验收合格后，方可交付使用；未经验收或者验收不合格的，不得交付使用。</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第十八条</w:t>
      </w:r>
      <w:r>
        <w:rPr>
          <w:rFonts w:hint="eastAsia" w:ascii="仿宋" w:hAnsi="仿宋" w:cs="仿宋"/>
          <w:color w:val="0C0C0C" w:themeColor="text1" w:themeTint="F2"/>
          <w:sz w:val="26"/>
          <w:szCs w:val="26"/>
        </w:rPr>
        <w:t>　</w:t>
      </w:r>
      <w:r>
        <w:rPr>
          <w:rFonts w:hint="eastAsia" w:cs="仿宋" w:asciiTheme="majorEastAsia" w:hAnsiTheme="majorEastAsia" w:eastAsiaTheme="majorEastAsia"/>
          <w:color w:val="0C0C0C" w:themeColor="text1" w:themeTint="F2"/>
          <w:sz w:val="26"/>
          <w:szCs w:val="26"/>
        </w:rPr>
        <w:t>城市道路实行工程质量保修制度。城市道路的保修期为1年，自交付使用之日起计算。保修期内出现工程质量问题，由有关责任单位负责保修</w:t>
      </w:r>
      <w:r>
        <w:rPr>
          <w:rFonts w:hint="eastAsia" w:ascii="仿宋" w:hAnsi="仿宋" w:cs="仿宋"/>
          <w:color w:val="0C0C0C" w:themeColor="text1" w:themeTint="F2"/>
          <w:sz w:val="26"/>
          <w:szCs w:val="26"/>
        </w:rPr>
        <w:t>。</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第十九条</w:t>
      </w:r>
      <w:r>
        <w:rPr>
          <w:rFonts w:hint="eastAsia" w:cs="仿宋" w:asciiTheme="minorEastAsia" w:hAnsiTheme="minorEastAsia" w:eastAsiaTheme="minorEastAsia"/>
          <w:color w:val="0C0C0C" w:themeColor="text1" w:themeTint="F2"/>
          <w:sz w:val="26"/>
          <w:szCs w:val="26"/>
        </w:rPr>
        <w:t>　市政工程行政主管部门对利用贷款或者集资建设的大型桥梁、隧道等，可以在一定期限内向过往车辆(军用车辆除外)收取通行费，用于偿还贷款或者集资款，不得挪作他用。</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收取通行费的范围和期限，由省、自治区、直辖市人民政府规定。</w:t>
      </w:r>
    </w:p>
    <w:p>
      <w:pPr>
        <w:pStyle w:val="28"/>
        <w:pageBreakBefore w:val="0"/>
        <w:widowControl w:val="0"/>
        <w:kinsoku/>
        <w:wordWrap/>
        <w:overflowPunct/>
        <w:topLinePunct w:val="0"/>
        <w:autoSpaceDE/>
        <w:autoSpaceDN/>
        <w:bidi w:val="0"/>
        <w:adjustRightInd/>
        <w:snapToGrid/>
        <w:spacing w:before="312" w:after="312" w:line="400" w:lineRule="exact"/>
        <w:textAlignment w:val="auto"/>
        <w:rPr>
          <w:color w:val="0C0C0C" w:themeColor="text1" w:themeTint="F2"/>
          <w:sz w:val="26"/>
          <w:szCs w:val="26"/>
        </w:rPr>
      </w:pPr>
      <w:r>
        <w:rPr>
          <w:rFonts w:hint="eastAsia"/>
          <w:color w:val="0C0C0C" w:themeColor="text1" w:themeTint="F2"/>
          <w:sz w:val="26"/>
          <w:szCs w:val="26"/>
        </w:rPr>
        <w:t>第三章　养护和维修</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第二十条</w:t>
      </w:r>
      <w:r>
        <w:rPr>
          <w:rFonts w:hint="eastAsia" w:ascii="仿宋" w:hAnsi="仿宋" w:cs="仿宋"/>
          <w:color w:val="0C0C0C" w:themeColor="text1" w:themeTint="F2"/>
          <w:sz w:val="26"/>
          <w:szCs w:val="26"/>
        </w:rPr>
        <w:t>　市政工程行政主管部门对其组织建设和管理的城市道路，按照城市道路的等级、数量及养护和维修的定额，逐年核定养护、维修经费，统一安排养护、维修资金。</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第二十一条</w:t>
      </w:r>
      <w:r>
        <w:rPr>
          <w:rFonts w:hint="eastAsia" w:ascii="仿宋" w:hAnsi="仿宋" w:cs="仿宋"/>
          <w:color w:val="0C0C0C" w:themeColor="text1" w:themeTint="F2"/>
          <w:sz w:val="26"/>
          <w:szCs w:val="26"/>
        </w:rPr>
        <w:t>　承担城市道路养护、维修的单位，应当严格执行城市道路养护、维修的技术规范，定期对城市道路进行养护、维修，确保养护、维修工程的质量。</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市政工程行政主管部门负责对养护、维修工程的质量进行监督检查，保障城市道路完好。</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第二十二条</w:t>
      </w:r>
      <w:r>
        <w:rPr>
          <w:rFonts w:hint="eastAsia" w:ascii="仿宋" w:hAnsi="仿宋" w:cs="仿宋"/>
          <w:color w:val="0C0C0C" w:themeColor="text1" w:themeTint="F2"/>
          <w:sz w:val="26"/>
          <w:szCs w:val="26"/>
        </w:rPr>
        <w:t>　市政工程行政主管部门组织建设和管理的道路，由其委托的城市道路养护、维修单位负责养护、维修。单位投资建设和管理的道路，由投资建设的单位或者其委托的单位负责养护、维修。城市住宅小区、开发区内的道路，由建设单位或者其委托的单位负责养护、维修。</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第二十三条</w:t>
      </w:r>
      <w:r>
        <w:rPr>
          <w:rFonts w:hint="eastAsia" w:ascii="仿宋" w:hAnsi="仿宋" w:cs="仿宋"/>
          <w:color w:val="0C0C0C" w:themeColor="text1" w:themeTint="F2"/>
          <w:sz w:val="26"/>
          <w:szCs w:val="26"/>
        </w:rPr>
        <w:t>　设在城市道路上的各类管线的检查井、箱盖或者城市道路附属设施，应当符合城市道路养护规范。因缺损影响交通和安全时，有关产权单位应当及时补缺或者修复。</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第二十四条</w:t>
      </w:r>
      <w:r>
        <w:rPr>
          <w:rFonts w:hint="eastAsia" w:ascii="仿宋" w:hAnsi="仿宋" w:cs="仿宋"/>
          <w:color w:val="0C0C0C" w:themeColor="text1" w:themeTint="F2"/>
          <w:sz w:val="26"/>
          <w:szCs w:val="26"/>
        </w:rPr>
        <w:t>　城市道路的养护、维修工程应当按照规定的期限修复竣工，并在养护、维修工程施工现场设置明显标志和安全防围设施，保障行人和交通车辆安全。</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第二十五条</w:t>
      </w:r>
      <w:r>
        <w:rPr>
          <w:rFonts w:hint="eastAsia" w:ascii="仿宋" w:hAnsi="仿宋" w:cs="仿宋"/>
          <w:color w:val="0C0C0C" w:themeColor="text1" w:themeTint="F2"/>
          <w:sz w:val="26"/>
          <w:szCs w:val="26"/>
        </w:rPr>
        <w:t>　城市道路养护、维修的专用车辆应当使用统一标志；执行任务时，在保证交通安全畅通的情况下，不受行驶路线和行驶方向的限制。</w:t>
      </w:r>
    </w:p>
    <w:p>
      <w:pPr>
        <w:pStyle w:val="28"/>
        <w:pageBreakBefore w:val="0"/>
        <w:widowControl w:val="0"/>
        <w:kinsoku/>
        <w:wordWrap/>
        <w:overflowPunct/>
        <w:topLinePunct w:val="0"/>
        <w:autoSpaceDE/>
        <w:autoSpaceDN/>
        <w:bidi w:val="0"/>
        <w:adjustRightInd/>
        <w:snapToGrid/>
        <w:spacing w:before="312" w:after="312" w:line="400" w:lineRule="exact"/>
        <w:textAlignment w:val="auto"/>
        <w:rPr>
          <w:color w:val="0C0C0C" w:themeColor="text1" w:themeTint="F2"/>
          <w:sz w:val="26"/>
          <w:szCs w:val="26"/>
        </w:rPr>
      </w:pPr>
      <w:r>
        <w:rPr>
          <w:rFonts w:hint="eastAsia"/>
          <w:color w:val="0C0C0C" w:themeColor="text1" w:themeTint="F2"/>
          <w:sz w:val="26"/>
          <w:szCs w:val="26"/>
        </w:rPr>
        <w:t>第四章　路政管理</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第二十六条</w:t>
      </w:r>
      <w:r>
        <w:rPr>
          <w:rFonts w:hint="eastAsia" w:ascii="仿宋" w:hAnsi="仿宋" w:cs="仿宋"/>
          <w:color w:val="0C0C0C" w:themeColor="text1" w:themeTint="F2"/>
          <w:sz w:val="26"/>
          <w:szCs w:val="26"/>
        </w:rPr>
        <w:t>　市政工程行政主管部门执行路政管理的人员执行公务，应当按照有关规定佩戴标志，持证上岗。</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ascii="仿宋" w:hAnsi="仿宋" w:eastAsia="黑体" w:cs="仿宋"/>
          <w:bCs/>
          <w:color w:val="0C0C0C" w:themeColor="text1" w:themeTint="F2"/>
          <w:sz w:val="26"/>
          <w:szCs w:val="26"/>
        </w:rPr>
        <w:t>第二十七条</w:t>
      </w:r>
      <w:r>
        <w:rPr>
          <w:rFonts w:hint="eastAsia" w:ascii="仿宋" w:hAnsi="仿宋" w:cs="仿宋"/>
          <w:color w:val="0C0C0C" w:themeColor="text1" w:themeTint="F2"/>
          <w:sz w:val="26"/>
          <w:szCs w:val="26"/>
        </w:rPr>
        <w:t>　</w:t>
      </w:r>
      <w:r>
        <w:rPr>
          <w:rFonts w:hint="eastAsia" w:cs="仿宋" w:asciiTheme="minorEastAsia" w:hAnsiTheme="minorEastAsia" w:eastAsiaTheme="minorEastAsia"/>
          <w:color w:val="0C0C0C" w:themeColor="text1" w:themeTint="F2"/>
          <w:sz w:val="26"/>
          <w:szCs w:val="26"/>
        </w:rPr>
        <w:t>城市道路范围内禁止下列行为：</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(一)擅自占用或者挖掘城市道路；</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(二)履带车、铁轮车或者超重、超高、超长车辆擅自在城市道路上行驶；</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(三)机动车在桥梁或者非指定的城市道路上试刹车；</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(四)擅自在城市道路上建设建筑物、构筑物；</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(五)在桥梁上架设压力在4公斤/平方厘米(0.4兆帕)以上的煤气管道、10千伏以上的高压电力线和其他易燃易爆管线；</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(六)擅自在桥梁或者路灯设施上设置广告牌或者其他挂浮物；</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(七)其他损害、侵占城市道路的行为。</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第二十八条</w:t>
      </w:r>
      <w:r>
        <w:rPr>
          <w:rFonts w:hint="eastAsia" w:ascii="仿宋" w:hAnsi="仿宋" w:cs="仿宋"/>
          <w:color w:val="0C0C0C" w:themeColor="text1" w:themeTint="F2"/>
          <w:sz w:val="26"/>
          <w:szCs w:val="26"/>
        </w:rPr>
        <w:t>　履带车、铁轮车或者超重、超高、超长车辆需要在城市道路上行驶的，事先须征得市政工程行政主管部门同意，并按照公安交通管理部门指定的时间、路线行驶。</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军用车辆执行任务需要在城市道路上行驶的，可以不受前款限制，但是应当按照规定采取安全保护措施。</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第二十九条</w:t>
      </w:r>
      <w:r>
        <w:rPr>
          <w:rFonts w:hint="eastAsia" w:ascii="仿宋" w:hAnsi="仿宋" w:cs="仿宋"/>
          <w:color w:val="0C0C0C" w:themeColor="text1" w:themeTint="F2"/>
          <w:sz w:val="26"/>
          <w:szCs w:val="26"/>
        </w:rPr>
        <w:t>　依附于城市道路建设各种管线、杆线等设施的，应当经市政工程行政主管部门批准，方可建设。</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第三十条</w:t>
      </w:r>
      <w:r>
        <w:rPr>
          <w:rFonts w:hint="eastAsia" w:ascii="仿宋" w:hAnsi="仿宋" w:cs="仿宋"/>
          <w:color w:val="0C0C0C" w:themeColor="text1" w:themeTint="F2"/>
          <w:sz w:val="26"/>
          <w:szCs w:val="26"/>
        </w:rPr>
        <w:t>　未经市政工程行政主管部门和公安交通管理部门批准，任何单位或者个人不得占用或者挖掘城市道路。</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第三十一条</w:t>
      </w:r>
      <w:r>
        <w:rPr>
          <w:rFonts w:hint="eastAsia" w:ascii="仿宋" w:hAnsi="仿宋" w:cs="仿宋"/>
          <w:color w:val="0C0C0C" w:themeColor="text1" w:themeTint="F2"/>
          <w:sz w:val="26"/>
          <w:szCs w:val="26"/>
        </w:rPr>
        <w:t>　因特殊情况需要临时占用城市道路的，须经市政工程行政主管部门和公安交通管理部门批准，方可按照规定占用。</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经批准临时占用城市道路的，不得损坏城市道路；占用期满后，应当及时清理占用现场，恢复城市道路原状；损坏城市道路的，应当修复或者给予赔偿。</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第三十二条</w:t>
      </w:r>
      <w:r>
        <w:rPr>
          <w:rFonts w:hint="eastAsia" w:ascii="仿宋" w:hAnsi="仿宋" w:cs="仿宋"/>
          <w:color w:val="0C0C0C" w:themeColor="text1" w:themeTint="F2"/>
          <w:sz w:val="26"/>
          <w:szCs w:val="26"/>
        </w:rPr>
        <w:t>　城市人民政府应当严格控制占用城市道路作为集贸市场。</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第三十三条</w:t>
      </w:r>
      <w:r>
        <w:rPr>
          <w:rFonts w:hint="eastAsia" w:ascii="仿宋" w:hAnsi="仿宋" w:cs="仿宋"/>
          <w:color w:val="0C0C0C" w:themeColor="text1" w:themeTint="F2"/>
          <w:sz w:val="26"/>
          <w:szCs w:val="26"/>
        </w:rPr>
        <w:t>　因工程建设需要挖掘城市道路的，应当提交城市规划部门批准签发的文件和有关设计文件，经市政工程行政主管部门和公安交通管理部门批准，方可按照规定挖掘。</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新建、扩建、改建的城市道路交付使用后5年内、大修的城市道路竣工后3年内不得挖掘；因特殊情况需要挖掘的，须经县级以上城市人民政府批准。</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第三十四条</w:t>
      </w:r>
      <w:r>
        <w:rPr>
          <w:rFonts w:hint="eastAsia" w:ascii="仿宋" w:hAnsi="仿宋" w:cs="仿宋"/>
          <w:color w:val="0C0C0C" w:themeColor="text1" w:themeTint="F2"/>
          <w:sz w:val="26"/>
          <w:szCs w:val="26"/>
        </w:rPr>
        <w:t>　埋设在城市道路下的管线发生故障需要紧急抢修的，可以先行破路抢修，并同时通知市政工程行政主管部门和公安交通管理部门，在24小时内按照规定补办批准手续。</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第三十五条</w:t>
      </w:r>
      <w:r>
        <w:rPr>
          <w:rFonts w:hint="eastAsia" w:ascii="仿宋" w:hAnsi="仿宋" w:cs="仿宋"/>
          <w:color w:val="0C0C0C" w:themeColor="text1" w:themeTint="F2"/>
          <w:sz w:val="26"/>
          <w:szCs w:val="26"/>
        </w:rPr>
        <w:t>　经批准挖掘城市道路的，应当在施工现场设置明显标志和安全防围设施；竣工后，应当及时清理现场，通知市政工程行政主管部门检查验收。</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第三十六条</w:t>
      </w:r>
      <w:r>
        <w:rPr>
          <w:rFonts w:hint="eastAsia" w:ascii="仿宋" w:hAnsi="仿宋" w:cs="仿宋"/>
          <w:color w:val="0C0C0C" w:themeColor="text1" w:themeTint="F2"/>
          <w:sz w:val="26"/>
          <w:szCs w:val="26"/>
        </w:rPr>
        <w:t>　经批准占用或者挖掘城市道路的，应当按照批准的位置、面积、期限占用或者挖掘。需要移动位置、扩大面积、延长时间的，应当提前办理变更审批手续。</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第三十七条</w:t>
      </w:r>
      <w:r>
        <w:rPr>
          <w:rFonts w:hint="eastAsia" w:ascii="仿宋" w:hAnsi="仿宋" w:cs="仿宋"/>
          <w:color w:val="0C0C0C" w:themeColor="text1" w:themeTint="F2"/>
          <w:sz w:val="26"/>
          <w:szCs w:val="26"/>
        </w:rPr>
        <w:t>　占用或者挖掘由市政工程行政主管部门管理的城市道路的，应当向市政工程行政主管部门交纳城市道路占用费或者城市道路挖掘修复费。</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城市道路占用费的收费标准，由省、自治区人民政府的建设行政主管部门、直辖市人民政府的市政工程行政主管部门拟订，报同级财政、物价主管部门核定；城市道路挖掘修复费的收费标准，由省、自治区人民政府的建设行政主管部门、直辖市人民政府的市政工程行政主管部门制定，报同级财政、物价主管部门备案。</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第三十八条</w:t>
      </w:r>
      <w:r>
        <w:rPr>
          <w:rFonts w:hint="eastAsia" w:ascii="仿宋" w:hAnsi="仿宋" w:cs="仿宋"/>
          <w:color w:val="0C0C0C" w:themeColor="text1" w:themeTint="F2"/>
          <w:sz w:val="26"/>
          <w:szCs w:val="26"/>
        </w:rPr>
        <w:t>　根据城市建设或者其他特殊需要，市政工程行政主管部门可以对临时占用城市道路的单位或者个人决定缩小占用面积、缩短占用时间或者停止占用，并根据具体情况退还部分城市道路占用费。</w:t>
      </w:r>
    </w:p>
    <w:p>
      <w:pPr>
        <w:pStyle w:val="28"/>
        <w:pageBreakBefore w:val="0"/>
        <w:widowControl w:val="0"/>
        <w:kinsoku/>
        <w:wordWrap/>
        <w:overflowPunct/>
        <w:topLinePunct w:val="0"/>
        <w:autoSpaceDE/>
        <w:autoSpaceDN/>
        <w:bidi w:val="0"/>
        <w:adjustRightInd/>
        <w:snapToGrid/>
        <w:spacing w:before="312" w:after="312" w:line="400" w:lineRule="exact"/>
        <w:textAlignment w:val="auto"/>
        <w:rPr>
          <w:color w:val="0C0C0C" w:themeColor="text1" w:themeTint="F2"/>
          <w:sz w:val="26"/>
          <w:szCs w:val="26"/>
        </w:rPr>
      </w:pPr>
      <w:r>
        <w:rPr>
          <w:rFonts w:hint="eastAsia"/>
          <w:color w:val="0C0C0C" w:themeColor="text1" w:themeTint="F2"/>
          <w:sz w:val="26"/>
          <w:szCs w:val="26"/>
        </w:rPr>
        <w:t>第五章　罚则</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ascii="仿宋" w:hAnsi="仿宋" w:eastAsia="黑体" w:cs="仿宋"/>
          <w:bCs/>
          <w:color w:val="0C0C0C" w:themeColor="text1" w:themeTint="F2"/>
          <w:sz w:val="26"/>
          <w:szCs w:val="26"/>
        </w:rPr>
        <w:t>第三十九条</w:t>
      </w:r>
      <w:r>
        <w:rPr>
          <w:rFonts w:hint="eastAsia" w:ascii="仿宋" w:hAnsi="仿宋" w:cs="仿宋"/>
          <w:color w:val="0C0C0C" w:themeColor="text1" w:themeTint="F2"/>
          <w:sz w:val="26"/>
          <w:szCs w:val="26"/>
        </w:rPr>
        <w:t>　</w:t>
      </w:r>
      <w:r>
        <w:rPr>
          <w:rFonts w:hint="eastAsia" w:cs="仿宋" w:asciiTheme="minorEastAsia" w:hAnsiTheme="minorEastAsia" w:eastAsiaTheme="minorEastAsia"/>
          <w:color w:val="0C0C0C" w:themeColor="text1" w:themeTint="F2"/>
          <w:sz w:val="26"/>
          <w:szCs w:val="26"/>
        </w:rPr>
        <w:t>违反本条例的规定，有下列行为之一的，由市政工程行政主管部门责令停止设计、施工，限期改正，可以并处3万元以下的罚款；已经取得设计、施工资格证书，情节严重的，提请原发证机关吊销设计、施工资格证书：</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(一)未取得设计、施工资格或者未按照资质等级承担城市道路的设计、施工任务的；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(二)未按照城市道路设计、施工技术规范设计、施工的；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(三)未按照设计图纸施工或者擅自修改图纸的。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第四十条</w:t>
      </w:r>
      <w:r>
        <w:rPr>
          <w:rFonts w:hint="eastAsia" w:ascii="仿宋" w:hAnsi="仿宋" w:cs="仿宋"/>
          <w:color w:val="0C0C0C" w:themeColor="text1" w:themeTint="F2"/>
          <w:sz w:val="26"/>
          <w:szCs w:val="26"/>
        </w:rPr>
        <w:t>　违反本条例第十七条规定，擅自使用未经验收或者验收不合格的城市道路的，由市政工程行政主管部门责令限期改正，给予警告，可以并处工程造价2%以下的罚款。</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第四十一条</w:t>
      </w:r>
      <w:r>
        <w:rPr>
          <w:rFonts w:hint="eastAsia" w:ascii="仿宋" w:hAnsi="仿宋" w:cs="仿宋"/>
          <w:color w:val="0C0C0C" w:themeColor="text1" w:themeTint="F2"/>
          <w:sz w:val="26"/>
          <w:szCs w:val="26"/>
        </w:rPr>
        <w:t>　承担城市道路养护、维修的单位违反本条例的规定，未定期对城市道路进行养护、维修或者未按照规定的期限修复竣工，并拒绝接受市政工程行政主管部门监督、检查的，由市政工程行政主管部门责令限期改正，给予警告；对负有直接责任的主管人员和其他直接责任人员，依法给予行政处分。</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第四十二条</w:t>
      </w:r>
      <w:r>
        <w:rPr>
          <w:rFonts w:hint="eastAsia" w:ascii="仿宋" w:hAnsi="仿宋" w:cs="仿宋"/>
          <w:color w:val="0C0C0C" w:themeColor="text1" w:themeTint="F2"/>
          <w:sz w:val="26"/>
          <w:szCs w:val="26"/>
        </w:rPr>
        <w:t>　违反本条例第二十七条规定，或者有下列行为之一的，由市政工程行政主管部门或者其他有关部门责令限期改正，可以处以2万元以下的罚款；造成损失的，应当依法承担赔偿责任：</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(一)未对设在城市道路上的各种管线的检查井、箱盖或者城市道路附属设施的缺损及时补缺或者修复的；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(二)</w:t>
      </w:r>
      <w:r>
        <w:rPr>
          <w:rFonts w:hint="eastAsia" w:ascii="仿宋" w:hAnsi="仿宋" w:cs="仿宋"/>
          <w:color w:val="0C0C0C" w:themeColor="text1" w:themeTint="F2"/>
          <w:spacing w:val="-6"/>
          <w:sz w:val="26"/>
          <w:szCs w:val="26"/>
        </w:rPr>
        <w:t>未在城市道路施工现场设置明显标志和安全防围设施的；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(三)占用城市道路期满或者挖掘城市道路后，不及时清理现场的；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(四)依附于城市道路建设各种管线、杆线等设施，不按照规定办理批准手续的；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(五)紧急抢修埋设在城市道路下的管线，不按照规定补办批准手续的；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(六)未按照批准的位置、面积、期限占用或者挖掘城市道路，或者需要移动位置、扩大面积、延长时间，未提前办理变更审批手续的。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第四十三条</w:t>
      </w:r>
      <w:r>
        <w:rPr>
          <w:rFonts w:hint="eastAsia" w:ascii="仿宋" w:hAnsi="仿宋" w:cs="仿宋"/>
          <w:color w:val="0C0C0C" w:themeColor="text1" w:themeTint="F2"/>
          <w:sz w:val="26"/>
          <w:szCs w:val="26"/>
        </w:rPr>
        <w:t>　违反本条例，构成犯罪的，由司法机关依法追究刑事责任；尚不构成犯罪，应当给予治安管理处罚的，依照治安管理处罚法的规定给予处罚。</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第四十四条</w:t>
      </w:r>
      <w:r>
        <w:rPr>
          <w:rFonts w:hint="eastAsia" w:ascii="仿宋" w:hAnsi="仿宋" w:cs="仿宋"/>
          <w:color w:val="0C0C0C" w:themeColor="text1" w:themeTint="F2"/>
          <w:sz w:val="26"/>
          <w:szCs w:val="26"/>
        </w:rPr>
        <w:t>　市政工程行政主管部门人员玩忽职守、滥用职权、徇私舞弊，构成犯罪的，依法追究刑事责任；尚不构成犯罪的，依法给予行政处分。</w:t>
      </w:r>
    </w:p>
    <w:p>
      <w:pPr>
        <w:pStyle w:val="28"/>
        <w:pageBreakBefore w:val="0"/>
        <w:widowControl w:val="0"/>
        <w:kinsoku/>
        <w:wordWrap/>
        <w:overflowPunct/>
        <w:topLinePunct w:val="0"/>
        <w:autoSpaceDE/>
        <w:autoSpaceDN/>
        <w:bidi w:val="0"/>
        <w:adjustRightInd/>
        <w:snapToGrid/>
        <w:spacing w:before="312" w:after="312" w:line="400" w:lineRule="exact"/>
        <w:textAlignment w:val="auto"/>
        <w:rPr>
          <w:color w:val="0C0C0C" w:themeColor="text1" w:themeTint="F2"/>
          <w:sz w:val="26"/>
          <w:szCs w:val="26"/>
        </w:rPr>
      </w:pPr>
      <w:r>
        <w:rPr>
          <w:rFonts w:hint="eastAsia"/>
          <w:color w:val="0C0C0C" w:themeColor="text1" w:themeTint="F2"/>
          <w:sz w:val="26"/>
          <w:szCs w:val="26"/>
        </w:rPr>
        <w:t>第六章　附则</w:t>
      </w:r>
    </w:p>
    <w:p>
      <w:pPr>
        <w:pStyle w:val="3"/>
        <w:pageBreakBefore w:val="0"/>
        <w:widowControl w:val="0"/>
        <w:kinsoku/>
        <w:wordWrap/>
        <w:overflowPunct/>
        <w:topLinePunct w:val="0"/>
        <w:autoSpaceDE/>
        <w:autoSpaceDN/>
        <w:bidi w:val="0"/>
        <w:adjustRightInd/>
        <w:snapToGrid/>
        <w:spacing w:before="0" w:after="0" w:line="400" w:lineRule="exact"/>
        <w:ind w:firstLine="520" w:firstLineChars="200"/>
        <w:jc w:val="left"/>
        <w:textAlignment w:val="auto"/>
        <w:rPr>
          <w:rFonts w:hint="eastAsia" w:cs="仿宋" w:asciiTheme="majorEastAsia" w:hAnsiTheme="majorEastAsia" w:eastAsiaTheme="majorEastAsia"/>
          <w:color w:val="0C0C0C" w:themeColor="text1" w:themeTint="F2"/>
          <w:sz w:val="26"/>
          <w:szCs w:val="26"/>
        </w:rPr>
      </w:pPr>
      <w:r>
        <w:rPr>
          <w:rFonts w:hint="eastAsia" w:ascii="仿宋" w:hAnsi="仿宋" w:eastAsia="宋体" w:cs="仿宋"/>
          <w:color w:val="0C0C0C" w:themeColor="text1" w:themeTint="F2"/>
          <w:sz w:val="26"/>
          <w:szCs w:val="26"/>
        </w:rPr>
        <w:t>第四十五条　</w:t>
      </w:r>
      <w:r>
        <w:rPr>
          <w:rFonts w:hint="eastAsia" w:cs="仿宋" w:asciiTheme="majorEastAsia" w:hAnsiTheme="majorEastAsia" w:eastAsiaTheme="majorEastAsia"/>
          <w:color w:val="0C0C0C" w:themeColor="text1" w:themeTint="F2"/>
          <w:sz w:val="26"/>
          <w:szCs w:val="26"/>
        </w:rPr>
        <w:t>本条例自1996年10月1日起施行。</w:t>
      </w:r>
    </w:p>
    <w:p/>
    <w:sectPr>
      <w:headerReference r:id="rId3" w:type="default"/>
      <w:footerReference r:id="rId5" w:type="default"/>
      <w:headerReference r:id="rId4" w:type="even"/>
      <w:footerReference r:id="rId6" w:type="even"/>
      <w:pgSz w:w="11905" w:h="16838"/>
      <w:pgMar w:top="1304" w:right="1191" w:bottom="1474" w:left="1361" w:header="567" w:footer="567" w:gutter="0"/>
      <w:pgNumType w:fmt="decimal" w:start="307"/>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Cambria">
    <w:altName w:val="FreeSerif"/>
    <w:panose1 w:val="02040503050406030204"/>
    <w:charset w:val="00"/>
    <w:family w:val="roman"/>
    <w:pitch w:val="default"/>
    <w:sig w:usb0="00000000" w:usb1="00000000" w:usb2="02000000" w:usb3="00000000" w:csb0="0000019F"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377</w:t>
                </w:r>
                <w:r>
                  <w:rPr>
                    <w:rFonts w:hint="eastAsia" w:ascii="仿宋" w:hAnsi="仿宋" w:eastAsia="仿宋" w:cs="仿宋"/>
                  </w:rPr>
                  <w:fldChar w:fldCharType="end"/>
                </w:r>
              </w:p>
            </w:txbxContent>
          </v:textbox>
        </v:shape>
      </w:pict>
    </w:r>
    <w:sdt>
      <w:sdtPr>
        <w:id w:val="7337133"/>
      </w:sdtP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378</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Lines="100" w:afterLines="100" w:line="360" w:lineRule="exact"/>
      <w:jc w:val="right"/>
      <w:rPr>
        <w:rFonts w:cs="仿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城市道路管理条例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Lines="100" w:afterLines="100" w:line="360" w:lineRule="exact"/>
      <w:jc w:val="left"/>
      <w:rPr>
        <w:rFonts w:cs="仿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城市道路管理条例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mirrorMargins w:val="true"/>
  <w:bordersDoNotSurroundHeader w:val="true"/>
  <w:bordersDoNotSurroundFooter w:val="true"/>
  <w:hideSpellingErrors/>
  <w:hideGrammaticalErrors/>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71921"/>
    <w:rsid w:val="00A81339"/>
    <w:rsid w:val="00A86397"/>
    <w:rsid w:val="00AA747A"/>
    <w:rsid w:val="00AC7BC9"/>
    <w:rsid w:val="00AF6B94"/>
    <w:rsid w:val="00B15D96"/>
    <w:rsid w:val="00B31E84"/>
    <w:rsid w:val="00B55A6B"/>
    <w:rsid w:val="00B9435F"/>
    <w:rsid w:val="00BC2466"/>
    <w:rsid w:val="00BC4671"/>
    <w:rsid w:val="00BD7AE1"/>
    <w:rsid w:val="00BE0B46"/>
    <w:rsid w:val="00C174FA"/>
    <w:rsid w:val="00C603F7"/>
    <w:rsid w:val="00C679F8"/>
    <w:rsid w:val="00CA02BD"/>
    <w:rsid w:val="00CB4C46"/>
    <w:rsid w:val="00CC5669"/>
    <w:rsid w:val="00CD01A8"/>
    <w:rsid w:val="00D11792"/>
    <w:rsid w:val="00D15169"/>
    <w:rsid w:val="00D31A92"/>
    <w:rsid w:val="00D56773"/>
    <w:rsid w:val="00D83072"/>
    <w:rsid w:val="00D92776"/>
    <w:rsid w:val="00DF7D69"/>
    <w:rsid w:val="00E149FA"/>
    <w:rsid w:val="00E21E2B"/>
    <w:rsid w:val="00E40DDC"/>
    <w:rsid w:val="00E44CB1"/>
    <w:rsid w:val="00E73B49"/>
    <w:rsid w:val="00EC63E9"/>
    <w:rsid w:val="00ED65AD"/>
    <w:rsid w:val="00F1248E"/>
    <w:rsid w:val="00F140AC"/>
    <w:rsid w:val="00F2134E"/>
    <w:rsid w:val="00F62793"/>
    <w:rsid w:val="00F90210"/>
    <w:rsid w:val="00FA2E60"/>
    <w:rsid w:val="00FA45FB"/>
    <w:rsid w:val="00FB4416"/>
    <w:rsid w:val="00FB783C"/>
    <w:rsid w:val="00FD082C"/>
    <w:rsid w:val="00FD7678"/>
    <w:rsid w:val="00FD7765"/>
    <w:rsid w:val="0152181F"/>
    <w:rsid w:val="01AB304A"/>
    <w:rsid w:val="01B023D3"/>
    <w:rsid w:val="01CF6706"/>
    <w:rsid w:val="01E7389F"/>
    <w:rsid w:val="026D2287"/>
    <w:rsid w:val="028A33D3"/>
    <w:rsid w:val="02B836F8"/>
    <w:rsid w:val="02D3568D"/>
    <w:rsid w:val="03356D16"/>
    <w:rsid w:val="0387597A"/>
    <w:rsid w:val="03985ADA"/>
    <w:rsid w:val="039F0CBD"/>
    <w:rsid w:val="0415528C"/>
    <w:rsid w:val="04401145"/>
    <w:rsid w:val="051529ED"/>
    <w:rsid w:val="058213F7"/>
    <w:rsid w:val="07405EF4"/>
    <w:rsid w:val="0788080A"/>
    <w:rsid w:val="07E71367"/>
    <w:rsid w:val="08FF0C17"/>
    <w:rsid w:val="094845F0"/>
    <w:rsid w:val="0963250F"/>
    <w:rsid w:val="097F7BAD"/>
    <w:rsid w:val="09B60066"/>
    <w:rsid w:val="0A6920EC"/>
    <w:rsid w:val="0A8C2526"/>
    <w:rsid w:val="0AEB2A0D"/>
    <w:rsid w:val="0B3D0578"/>
    <w:rsid w:val="0D3C4224"/>
    <w:rsid w:val="0D610029"/>
    <w:rsid w:val="0DFE10B9"/>
    <w:rsid w:val="10A423AC"/>
    <w:rsid w:val="10A47D69"/>
    <w:rsid w:val="12146020"/>
    <w:rsid w:val="12681C59"/>
    <w:rsid w:val="12C10B30"/>
    <w:rsid w:val="134A1994"/>
    <w:rsid w:val="136642BB"/>
    <w:rsid w:val="142327B5"/>
    <w:rsid w:val="14484CDF"/>
    <w:rsid w:val="145C65F1"/>
    <w:rsid w:val="155E2CB3"/>
    <w:rsid w:val="157124FD"/>
    <w:rsid w:val="15B01378"/>
    <w:rsid w:val="15B17054"/>
    <w:rsid w:val="15C01599"/>
    <w:rsid w:val="16E85B46"/>
    <w:rsid w:val="174517D7"/>
    <w:rsid w:val="18413C16"/>
    <w:rsid w:val="196D219E"/>
    <w:rsid w:val="198A0A54"/>
    <w:rsid w:val="19DB6C33"/>
    <w:rsid w:val="1BA81FAF"/>
    <w:rsid w:val="1BAF2172"/>
    <w:rsid w:val="1C12202E"/>
    <w:rsid w:val="1C9212F7"/>
    <w:rsid w:val="1E67698A"/>
    <w:rsid w:val="2096095A"/>
    <w:rsid w:val="20D86240"/>
    <w:rsid w:val="21CE0F2E"/>
    <w:rsid w:val="22DD4281"/>
    <w:rsid w:val="253620CC"/>
    <w:rsid w:val="25981EEB"/>
    <w:rsid w:val="25BF3D61"/>
    <w:rsid w:val="25F044FF"/>
    <w:rsid w:val="26C10A61"/>
    <w:rsid w:val="26CA1A3A"/>
    <w:rsid w:val="27680A3B"/>
    <w:rsid w:val="27A96F19"/>
    <w:rsid w:val="2834230D"/>
    <w:rsid w:val="287A18EA"/>
    <w:rsid w:val="28F8723D"/>
    <w:rsid w:val="2B01664D"/>
    <w:rsid w:val="2C7458A4"/>
    <w:rsid w:val="2D644059"/>
    <w:rsid w:val="2DBE0D65"/>
    <w:rsid w:val="2DD84BA0"/>
    <w:rsid w:val="2DDE6B1E"/>
    <w:rsid w:val="2E1B43B4"/>
    <w:rsid w:val="2ED32E01"/>
    <w:rsid w:val="2FF20DF5"/>
    <w:rsid w:val="312C6F46"/>
    <w:rsid w:val="318138A8"/>
    <w:rsid w:val="31F05688"/>
    <w:rsid w:val="320E2B0A"/>
    <w:rsid w:val="32252208"/>
    <w:rsid w:val="330D4027"/>
    <w:rsid w:val="3330356C"/>
    <w:rsid w:val="33CF5811"/>
    <w:rsid w:val="33D729CF"/>
    <w:rsid w:val="34031BBE"/>
    <w:rsid w:val="35095248"/>
    <w:rsid w:val="355560D1"/>
    <w:rsid w:val="386D21AD"/>
    <w:rsid w:val="39C71577"/>
    <w:rsid w:val="3A1725C5"/>
    <w:rsid w:val="3A7915E5"/>
    <w:rsid w:val="3B1265AF"/>
    <w:rsid w:val="3BA0652C"/>
    <w:rsid w:val="3CA23060"/>
    <w:rsid w:val="3CDF39C7"/>
    <w:rsid w:val="3D762392"/>
    <w:rsid w:val="3DFC6899"/>
    <w:rsid w:val="3E3675FB"/>
    <w:rsid w:val="3F800236"/>
    <w:rsid w:val="3F8C783C"/>
    <w:rsid w:val="40226A0B"/>
    <w:rsid w:val="40DC5AC3"/>
    <w:rsid w:val="40F66CF8"/>
    <w:rsid w:val="40FE47B4"/>
    <w:rsid w:val="414B493C"/>
    <w:rsid w:val="41697E06"/>
    <w:rsid w:val="41B857FD"/>
    <w:rsid w:val="43531D23"/>
    <w:rsid w:val="4361706F"/>
    <w:rsid w:val="43CA1521"/>
    <w:rsid w:val="43D46F84"/>
    <w:rsid w:val="444B0E8A"/>
    <w:rsid w:val="452B1997"/>
    <w:rsid w:val="45866A2B"/>
    <w:rsid w:val="47A250A3"/>
    <w:rsid w:val="48AC4D69"/>
    <w:rsid w:val="494B3B16"/>
    <w:rsid w:val="49C224BB"/>
    <w:rsid w:val="4A732A37"/>
    <w:rsid w:val="4CCA39B2"/>
    <w:rsid w:val="4DC87E21"/>
    <w:rsid w:val="4E24153F"/>
    <w:rsid w:val="4E6A2FDF"/>
    <w:rsid w:val="4EDF3D2B"/>
    <w:rsid w:val="4EED79F5"/>
    <w:rsid w:val="4F6F13C3"/>
    <w:rsid w:val="5080370D"/>
    <w:rsid w:val="512A1D93"/>
    <w:rsid w:val="523F45D1"/>
    <w:rsid w:val="52695AB4"/>
    <w:rsid w:val="529D4C7B"/>
    <w:rsid w:val="53BF5C69"/>
    <w:rsid w:val="53DA0A43"/>
    <w:rsid w:val="55805BE7"/>
    <w:rsid w:val="55B865F8"/>
    <w:rsid w:val="55C0390E"/>
    <w:rsid w:val="55D520AC"/>
    <w:rsid w:val="566F7832"/>
    <w:rsid w:val="56E91124"/>
    <w:rsid w:val="575D4E2E"/>
    <w:rsid w:val="577F6B33"/>
    <w:rsid w:val="58035B31"/>
    <w:rsid w:val="584817B4"/>
    <w:rsid w:val="58F6185E"/>
    <w:rsid w:val="591257DC"/>
    <w:rsid w:val="5B353B99"/>
    <w:rsid w:val="5C223266"/>
    <w:rsid w:val="5D101449"/>
    <w:rsid w:val="5D6C718A"/>
    <w:rsid w:val="5DB22BFD"/>
    <w:rsid w:val="5DD739B2"/>
    <w:rsid w:val="5E900D37"/>
    <w:rsid w:val="5F5011B7"/>
    <w:rsid w:val="5F88093C"/>
    <w:rsid w:val="60492E1B"/>
    <w:rsid w:val="60FB7125"/>
    <w:rsid w:val="61152047"/>
    <w:rsid w:val="620467BA"/>
    <w:rsid w:val="622D2BEC"/>
    <w:rsid w:val="62AA6CCB"/>
    <w:rsid w:val="62F60DE0"/>
    <w:rsid w:val="63DD0DD3"/>
    <w:rsid w:val="641F5EE8"/>
    <w:rsid w:val="648E2492"/>
    <w:rsid w:val="649C0E8F"/>
    <w:rsid w:val="65532802"/>
    <w:rsid w:val="65BF6566"/>
    <w:rsid w:val="665D25F4"/>
    <w:rsid w:val="66E50FB1"/>
    <w:rsid w:val="674048E2"/>
    <w:rsid w:val="68715924"/>
    <w:rsid w:val="6A403C00"/>
    <w:rsid w:val="6B4C7D1B"/>
    <w:rsid w:val="6C267EB4"/>
    <w:rsid w:val="6D1363D3"/>
    <w:rsid w:val="6D614426"/>
    <w:rsid w:val="6DA577A5"/>
    <w:rsid w:val="6DB87D30"/>
    <w:rsid w:val="6E804287"/>
    <w:rsid w:val="6EB30283"/>
    <w:rsid w:val="6F605325"/>
    <w:rsid w:val="70817970"/>
    <w:rsid w:val="712B5699"/>
    <w:rsid w:val="71727365"/>
    <w:rsid w:val="72A30A90"/>
    <w:rsid w:val="72C042BE"/>
    <w:rsid w:val="739F0C32"/>
    <w:rsid w:val="746D1278"/>
    <w:rsid w:val="762C29D0"/>
    <w:rsid w:val="76975133"/>
    <w:rsid w:val="769B60FD"/>
    <w:rsid w:val="76C10F77"/>
    <w:rsid w:val="774B35E7"/>
    <w:rsid w:val="77D8678E"/>
    <w:rsid w:val="78061DFD"/>
    <w:rsid w:val="7814798C"/>
    <w:rsid w:val="7819740D"/>
    <w:rsid w:val="789F59B2"/>
    <w:rsid w:val="78ED2B64"/>
    <w:rsid w:val="799B0126"/>
    <w:rsid w:val="7A1D0882"/>
    <w:rsid w:val="7A224A32"/>
    <w:rsid w:val="7A4B0114"/>
    <w:rsid w:val="7A6D55E9"/>
    <w:rsid w:val="7ABD49CD"/>
    <w:rsid w:val="7BA85469"/>
    <w:rsid w:val="7BAF8C3E"/>
    <w:rsid w:val="7C0E15E2"/>
    <w:rsid w:val="7C28250F"/>
    <w:rsid w:val="7CFB06AD"/>
    <w:rsid w:val="7D0E2676"/>
    <w:rsid w:val="7E600C51"/>
    <w:rsid w:val="7E8622B0"/>
    <w:rsid w:val="7ED17F92"/>
    <w:rsid w:val="7FB50D96"/>
    <w:rsid w:val="B7DD8D4B"/>
    <w:rsid w:val="FEFF65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jc w:val="center"/>
      <w:outlineLvl w:val="0"/>
    </w:pPr>
    <w:rPr>
      <w:rFonts w:eastAsia="黑体"/>
      <w:bCs/>
      <w:kern w:val="44"/>
      <w:sz w:val="32"/>
      <w:szCs w:val="44"/>
    </w:rPr>
  </w:style>
  <w:style w:type="paragraph" w:styleId="3">
    <w:name w:val="heading 2"/>
    <w:basedOn w:val="1"/>
    <w:next w:val="1"/>
    <w:link w:val="21"/>
    <w:unhideWhenUsed/>
    <w:qFormat/>
    <w:uiPriority w:val="9"/>
    <w:pPr>
      <w:keepNext/>
      <w:keepLines/>
      <w:spacing w:before="320" w:after="320" w:line="576" w:lineRule="auto"/>
      <w:jc w:val="center"/>
      <w:outlineLvl w:val="1"/>
    </w:pPr>
    <w:rPr>
      <w:rFonts w:eastAsia="方正黑体_GBK" w:asciiTheme="majorHAnsi" w:hAnsiTheme="majorHAnsi" w:cstheme="majorBidi"/>
      <w:bCs/>
      <w:sz w:val="32"/>
      <w:szCs w:val="32"/>
    </w:rPr>
  </w:style>
  <w:style w:type="paragraph" w:styleId="4">
    <w:name w:val="heading 3"/>
    <w:basedOn w:val="1"/>
    <w:next w:val="1"/>
    <w:link w:val="22"/>
    <w:unhideWhenUsed/>
    <w:qFormat/>
    <w:uiPriority w:val="9"/>
    <w:pPr>
      <w:keepNext/>
      <w:keepLines/>
      <w:spacing w:before="260" w:after="260" w:line="416" w:lineRule="auto"/>
      <w:jc w:val="center"/>
      <w:outlineLvl w:val="2"/>
    </w:pPr>
    <w:rPr>
      <w:rFonts w:eastAsia="方正楷体_GBK"/>
      <w:b/>
      <w:bCs/>
      <w:sz w:val="32"/>
      <w:szCs w:val="32"/>
    </w:rPr>
  </w:style>
  <w:style w:type="paragraph" w:styleId="5">
    <w:name w:val="heading 4"/>
    <w:basedOn w:val="1"/>
    <w:next w:val="1"/>
    <w:link w:val="23"/>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6"/>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7"/>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0">
    <w:name w:val="Plain Text"/>
    <w:basedOn w:val="1"/>
    <w:link w:val="17"/>
    <w:unhideWhenUsed/>
    <w:qFormat/>
    <w:uiPriority w:val="99"/>
    <w:rPr>
      <w:rFonts w:ascii="宋体" w:hAnsi="Courier New" w:eastAsia="宋体" w:cs="Courier New"/>
      <w:szCs w:val="21"/>
    </w:rPr>
  </w:style>
  <w:style w:type="paragraph" w:styleId="11">
    <w:name w:val="Balloon Text"/>
    <w:basedOn w:val="1"/>
    <w:link w:val="30"/>
    <w:semiHidden/>
    <w:unhideWhenUsed/>
    <w:qFormat/>
    <w:uiPriority w:val="99"/>
    <w:rPr>
      <w:sz w:val="18"/>
      <w:szCs w:val="18"/>
    </w:rPr>
  </w:style>
  <w:style w:type="paragraph" w:styleId="12">
    <w:name w:val="footer"/>
    <w:basedOn w:val="1"/>
    <w:link w:val="19"/>
    <w:semiHidden/>
    <w:unhideWhenUsed/>
    <w:qFormat/>
    <w:uiPriority w:val="99"/>
    <w:pPr>
      <w:tabs>
        <w:tab w:val="center" w:pos="4153"/>
        <w:tab w:val="right" w:pos="8306"/>
      </w:tabs>
      <w:snapToGrid w:val="0"/>
      <w:jc w:val="left"/>
    </w:pPr>
    <w:rPr>
      <w:sz w:val="18"/>
      <w:szCs w:val="18"/>
    </w:rPr>
  </w:style>
  <w:style w:type="paragraph" w:styleId="13">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Normal (Web)"/>
    <w:basedOn w:val="1"/>
    <w:semiHidden/>
    <w:unhideWhenUsed/>
    <w:qFormat/>
    <w:uiPriority w:val="99"/>
    <w:rPr>
      <w:sz w:val="24"/>
    </w:rPr>
  </w:style>
  <w:style w:type="character" w:customStyle="1" w:styleId="17">
    <w:name w:val="纯文本 Char"/>
    <w:basedOn w:val="16"/>
    <w:link w:val="10"/>
    <w:qFormat/>
    <w:uiPriority w:val="99"/>
    <w:rPr>
      <w:rFonts w:ascii="宋体" w:hAnsi="Courier New" w:eastAsia="宋体" w:cs="Courier New"/>
      <w:szCs w:val="21"/>
    </w:rPr>
  </w:style>
  <w:style w:type="character" w:customStyle="1" w:styleId="18">
    <w:name w:val="页眉 Char"/>
    <w:basedOn w:val="16"/>
    <w:link w:val="13"/>
    <w:semiHidden/>
    <w:qFormat/>
    <w:uiPriority w:val="99"/>
    <w:rPr>
      <w:sz w:val="18"/>
      <w:szCs w:val="18"/>
    </w:rPr>
  </w:style>
  <w:style w:type="character" w:customStyle="1" w:styleId="19">
    <w:name w:val="页脚 Char"/>
    <w:basedOn w:val="16"/>
    <w:link w:val="12"/>
    <w:semiHidden/>
    <w:qFormat/>
    <w:uiPriority w:val="99"/>
    <w:rPr>
      <w:sz w:val="18"/>
      <w:szCs w:val="18"/>
    </w:rPr>
  </w:style>
  <w:style w:type="character" w:customStyle="1" w:styleId="20">
    <w:name w:val="标题 1 Char"/>
    <w:basedOn w:val="16"/>
    <w:link w:val="2"/>
    <w:qFormat/>
    <w:uiPriority w:val="9"/>
    <w:rPr>
      <w:rFonts w:eastAsia="黑体" w:asciiTheme="minorHAnsi" w:hAnsiTheme="minorHAnsi"/>
      <w:bCs/>
      <w:kern w:val="44"/>
      <w:sz w:val="32"/>
      <w:szCs w:val="44"/>
    </w:rPr>
  </w:style>
  <w:style w:type="character" w:customStyle="1" w:styleId="21">
    <w:name w:val="标题 2 Char"/>
    <w:basedOn w:val="16"/>
    <w:link w:val="3"/>
    <w:semiHidden/>
    <w:qFormat/>
    <w:uiPriority w:val="9"/>
    <w:rPr>
      <w:rFonts w:eastAsia="方正黑体_GBK" w:asciiTheme="majorHAnsi" w:hAnsiTheme="majorHAnsi" w:cstheme="majorBidi"/>
      <w:bCs/>
      <w:sz w:val="32"/>
      <w:szCs w:val="32"/>
    </w:rPr>
  </w:style>
  <w:style w:type="character" w:customStyle="1" w:styleId="22">
    <w:name w:val="标题 3 Char"/>
    <w:basedOn w:val="16"/>
    <w:link w:val="4"/>
    <w:semiHidden/>
    <w:qFormat/>
    <w:uiPriority w:val="9"/>
    <w:rPr>
      <w:rFonts w:eastAsia="方正楷体_GBK" w:asciiTheme="minorHAnsi" w:hAnsiTheme="minorHAnsi"/>
      <w:b/>
      <w:bCs/>
      <w:sz w:val="32"/>
      <w:szCs w:val="32"/>
    </w:rPr>
  </w:style>
  <w:style w:type="character" w:customStyle="1" w:styleId="23">
    <w:name w:val="标题 4 Char"/>
    <w:basedOn w:val="16"/>
    <w:link w:val="5"/>
    <w:semiHidden/>
    <w:qFormat/>
    <w:uiPriority w:val="9"/>
    <w:rPr>
      <w:rFonts w:asciiTheme="majorHAnsi" w:hAnsiTheme="majorHAnsi" w:eastAsiaTheme="majorEastAsia" w:cstheme="majorBidi"/>
      <w:b/>
      <w:bCs/>
      <w:sz w:val="28"/>
      <w:szCs w:val="28"/>
    </w:rPr>
  </w:style>
  <w:style w:type="character" w:customStyle="1" w:styleId="24">
    <w:name w:val="标题 5 Char"/>
    <w:basedOn w:val="16"/>
    <w:link w:val="6"/>
    <w:semiHidden/>
    <w:qFormat/>
    <w:uiPriority w:val="9"/>
    <w:rPr>
      <w:b/>
      <w:bCs/>
      <w:sz w:val="28"/>
      <w:szCs w:val="28"/>
    </w:rPr>
  </w:style>
  <w:style w:type="character" w:customStyle="1" w:styleId="25">
    <w:name w:val="标题 6 Char"/>
    <w:basedOn w:val="16"/>
    <w:link w:val="7"/>
    <w:semiHidden/>
    <w:qFormat/>
    <w:uiPriority w:val="9"/>
    <w:rPr>
      <w:rFonts w:asciiTheme="majorHAnsi" w:hAnsiTheme="majorHAnsi" w:eastAsiaTheme="majorEastAsia" w:cstheme="majorBidi"/>
      <w:b/>
      <w:bCs/>
      <w:sz w:val="24"/>
      <w:szCs w:val="24"/>
    </w:rPr>
  </w:style>
  <w:style w:type="character" w:customStyle="1" w:styleId="26">
    <w:name w:val="标题 7 Char"/>
    <w:basedOn w:val="16"/>
    <w:link w:val="8"/>
    <w:semiHidden/>
    <w:qFormat/>
    <w:uiPriority w:val="9"/>
    <w:rPr>
      <w:b/>
      <w:bCs/>
      <w:sz w:val="24"/>
      <w:szCs w:val="24"/>
    </w:rPr>
  </w:style>
  <w:style w:type="character" w:customStyle="1" w:styleId="27">
    <w:name w:val="标题 8 Char"/>
    <w:basedOn w:val="16"/>
    <w:link w:val="9"/>
    <w:semiHidden/>
    <w:qFormat/>
    <w:uiPriority w:val="9"/>
    <w:rPr>
      <w:rFonts w:asciiTheme="majorHAnsi" w:hAnsiTheme="majorHAnsi" w:eastAsiaTheme="majorEastAsia" w:cstheme="majorBidi"/>
      <w:sz w:val="24"/>
      <w:szCs w:val="24"/>
    </w:rPr>
  </w:style>
  <w:style w:type="paragraph" w:customStyle="1" w:styleId="28">
    <w:name w:val="第一章"/>
    <w:basedOn w:val="2"/>
    <w:next w:val="29"/>
    <w:qFormat/>
    <w:uiPriority w:val="0"/>
    <w:pPr>
      <w:spacing w:beforeLines="100" w:afterLines="100" w:line="360" w:lineRule="exact"/>
    </w:pPr>
    <w:rPr>
      <w:sz w:val="30"/>
    </w:rPr>
  </w:style>
  <w:style w:type="paragraph" w:customStyle="1" w:styleId="29">
    <w:name w:val="章节"/>
    <w:basedOn w:val="2"/>
    <w:next w:val="1"/>
    <w:qFormat/>
    <w:uiPriority w:val="0"/>
    <w:pPr>
      <w:spacing w:before="100" w:after="75"/>
    </w:pPr>
  </w:style>
  <w:style w:type="character" w:customStyle="1" w:styleId="30">
    <w:name w:val="批注框文本 Char"/>
    <w:basedOn w:val="16"/>
    <w:link w:val="11"/>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4168</Words>
  <Characters>163</Characters>
  <Lines>1</Lines>
  <Paragraphs>8</Paragraphs>
  <TotalTime>18</TotalTime>
  <ScaleCrop>false</ScaleCrop>
  <LinksUpToDate>false</LinksUpToDate>
  <CharactersWithSpaces>4323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2019-05-22T02:29:00Z</dcterms:created>
  <dc:creator>Administrator</dc:creator>
  <cp:lastModifiedBy>langchao</cp:lastModifiedBy>
  <cp:lastPrinted>2022-11-02T18:54:00Z</cp:lastPrinted>
  <dcterms:modified xsi:type="dcterms:W3CDTF">2024-06-14T15:46:54Z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